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jpeg" ContentType="image/jpeg"/>
  <Override PartName="/word/media/image3.jpeg" ContentType="image/jpeg"/>
  <Override PartName="/word/media/image4.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imes New Roman" w:hAnsi="Times New Roman" w:cs="Times New Roman"/>
          <w:b/>
          <w:b/>
          <w:sz w:val="24"/>
          <w:szCs w:val="24"/>
        </w:rPr>
      </w:pPr>
      <w:r>
        <w:rPr>
          <w:rFonts w:cs="Times New Roman" w:ascii="Times New Roman" w:hAnsi="Times New Roman"/>
          <w:b/>
          <w:sz w:val="24"/>
          <w:szCs w:val="24"/>
        </w:rPr>
        <w:t xml:space="preserve">Anexa 1 la Ghidul solicitantului </w:t>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 xml:space="preserve">Procedura de evaluare si selectie a proiectelor </w:t>
      </w:r>
    </w:p>
    <w:p>
      <w:pPr>
        <w:pStyle w:val="Normal"/>
        <w:keepNext w:val="true"/>
        <w:numPr>
          <w:ilvl w:val="0"/>
          <w:numId w:val="0"/>
        </w:numPr>
        <w:spacing w:lineRule="auto" w:line="240" w:before="0" w:after="0"/>
        <w:jc w:val="center"/>
        <w:outlineLvl w:val="0"/>
        <w:rPr>
          <w:rFonts w:ascii="Times New Roman" w:hAnsi="Times New Roman" w:eastAsia="Times New Roman" w:cs="Times New Roman"/>
          <w:b/>
          <w:b/>
          <w:bCs/>
          <w:color w:val="000000"/>
          <w:kern w:val="2"/>
          <w:sz w:val="24"/>
          <w:szCs w:val="24"/>
        </w:rPr>
      </w:pPr>
      <w:r>
        <w:rPr>
          <w:rFonts w:eastAsia="Times New Roman" w:cs="Times New Roman" w:ascii="Times New Roman" w:hAnsi="Times New Roman"/>
          <w:b/>
          <w:bCs/>
          <w:color w:val="000000"/>
          <w:kern w:val="2"/>
          <w:sz w:val="24"/>
          <w:szCs w:val="24"/>
        </w:rPr>
        <w:t>Regulament privind procedura de evaluare si selectie a proiectelor</w:t>
      </w:r>
    </w:p>
    <w:p>
      <w:pPr>
        <w:pStyle w:val="Normal"/>
        <w:keepNext w:val="true"/>
        <w:numPr>
          <w:ilvl w:val="0"/>
          <w:numId w:val="0"/>
        </w:numPr>
        <w:spacing w:lineRule="auto" w:line="276" w:before="0" w:after="60"/>
        <w:jc w:val="center"/>
        <w:outlineLvl w:val="0"/>
        <w:rPr>
          <w:rFonts w:ascii="Times New Roman" w:hAnsi="Times New Roman" w:eastAsia="Times New Roman" w:cs="Times New Roman"/>
          <w:b/>
          <w:b/>
          <w:bCs/>
          <w:color w:val="000000"/>
          <w:kern w:val="2"/>
          <w:sz w:val="24"/>
          <w:szCs w:val="24"/>
        </w:rPr>
      </w:pPr>
      <w:r>
        <w:rPr>
          <w:rFonts w:eastAsia="Times New Roman" w:cs="Times New Roman" w:ascii="Times New Roman" w:hAnsi="Times New Roman"/>
          <w:b/>
          <w:bCs/>
          <w:color w:val="000000"/>
          <w:kern w:val="2"/>
          <w:sz w:val="24"/>
          <w:szCs w:val="24"/>
        </w:rPr>
      </w:r>
    </w:p>
    <w:p>
      <w:pPr>
        <w:pStyle w:val="NormalWeb"/>
        <w:tabs>
          <w:tab w:val="clear" w:pos="720"/>
          <w:tab w:val="left" w:pos="270" w:leader="none"/>
        </w:tabs>
        <w:spacing w:beforeAutospacing="0" w:before="0" w:afterAutospacing="0" w:after="0"/>
        <w:ind w:left="274" w:hanging="0"/>
        <w:jc w:val="both"/>
        <w:rPr>
          <w:b/>
          <w:b/>
          <w:bCs/>
          <w:color w:val="000000"/>
          <w:kern w:val="2"/>
          <w:lang w:val="en-US" w:eastAsia="en-US"/>
        </w:rPr>
      </w:pPr>
      <w:r>
        <w:rPr>
          <w:b/>
          <w:bCs/>
          <w:color w:val="000000"/>
          <w:kern w:val="2"/>
          <w:lang w:val="en-US" w:eastAsia="en-US"/>
        </w:rPr>
      </w:r>
    </w:p>
    <w:p>
      <w:pPr>
        <w:pStyle w:val="NormalWeb"/>
        <w:tabs>
          <w:tab w:val="clear" w:pos="720"/>
          <w:tab w:val="left" w:pos="0" w:leader="none"/>
        </w:tabs>
        <w:spacing w:beforeAutospacing="0" w:before="0" w:afterAutospacing="0" w:after="0"/>
        <w:jc w:val="both"/>
        <w:rPr/>
      </w:pPr>
      <w:r>
        <w:rPr>
          <w:b/>
          <w:bCs/>
          <w:color w:val="000000"/>
          <w:lang w:val="ro-RO"/>
        </w:rPr>
        <w:t xml:space="preserve">Apelul de selectie </w:t>
      </w:r>
      <w:r>
        <w:rPr>
          <w:color w:val="000000"/>
          <w:lang w:val="ro-RO"/>
        </w:rPr>
        <w:t>se lanseaza cu minim 30 de zile calendaristice inainte de data limita de depunere a proiectelor, in asa fel incat potentialii beneficiari sa aiba timp suficient pentru pregatirea si depunerea acestora.</w:t>
      </w:r>
    </w:p>
    <w:p>
      <w:pPr>
        <w:pStyle w:val="Normal"/>
        <w:tabs>
          <w:tab w:val="clear" w:pos="720"/>
          <w:tab w:val="left" w:pos="0" w:leader="none"/>
        </w:tabs>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Default"/>
        <w:spacing w:lineRule="auto" w:line="360"/>
        <w:jc w:val="both"/>
        <w:rPr>
          <w:rFonts w:ascii="Times New Roman" w:hAnsi="Times New Roman" w:cs="Times New Roman"/>
          <w:lang w:val="ro-RO"/>
        </w:rPr>
      </w:pPr>
      <w:r>
        <w:rPr>
          <w:rFonts w:cs="Times New Roman" w:ascii="Times New Roman" w:hAnsi="Times New Roman"/>
          <w:lang w:val="ro-RO"/>
        </w:rPr>
        <w:t xml:space="preserve">Dosarele Cererilor de finantare sunt depuse la biroul Asociatiei GAL Angustia, inaintea datei limita specificata in apelul de selectie. </w:t>
      </w:r>
    </w:p>
    <w:p>
      <w:pPr>
        <w:pStyle w:val="Normal"/>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keepNext w:val="true"/>
        <w:numPr>
          <w:ilvl w:val="0"/>
          <w:numId w:val="0"/>
        </w:numPr>
        <w:spacing w:lineRule="auto" w:line="276" w:before="0" w:after="60"/>
        <w:jc w:val="both"/>
        <w:outlineLvl w:val="0"/>
        <w:rPr>
          <w:rFonts w:ascii="Times New Roman" w:hAnsi="Times New Roman" w:eastAsia="Times New Roman" w:cs="Times New Roman"/>
          <w:b/>
          <w:b/>
          <w:bCs/>
          <w:color w:val="000000"/>
          <w:kern w:val="2"/>
          <w:sz w:val="24"/>
          <w:szCs w:val="24"/>
        </w:rPr>
      </w:pPr>
      <w:r>
        <w:rPr>
          <w:rFonts w:eastAsia="Times New Roman" w:cs="Times New Roman" w:ascii="Times New Roman" w:hAnsi="Times New Roman"/>
          <w:b/>
          <w:bCs/>
          <w:color w:val="000000"/>
          <w:kern w:val="2"/>
          <w:sz w:val="24"/>
          <w:szCs w:val="24"/>
        </w:rPr>
        <w:t>Varianta simplificata a procedurii de evaluare si selectie</w:t>
      </w:r>
    </w:p>
    <w:p>
      <w:pPr>
        <w:pStyle w:val="Normal"/>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t>Evaluarea cererilor de finantare se va realiza de catre doi experti ai GAL pe baza fiselor de verificare si procedurilor de evaluare a proiectelor.  Rezultatele evaluarii impreuna cu proiectele depuse vor fi prezentate Comitetului de Selectie, care va elabora si aproba Raportul de selectie. Daca unul dintre proiectele depuse pentru selectie apartine unuia dintre Membrii Comitetului de Selectie, persoana/organizatia nu va participa la intalnirea Comitetului de Selectie.</w:t>
      </w:r>
    </w:p>
    <w:p>
      <w:pPr>
        <w:pStyle w:val="Normal"/>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de la nivel regional aflat în subordinea MADR.</w:t>
      </w:r>
    </w:p>
    <w:p>
      <w:pPr>
        <w:pStyle w:val="Normal"/>
        <w:spacing w:lineRule="auto" w:line="276" w:before="0" w:after="0"/>
        <w:jc w:val="both"/>
        <w:rPr>
          <w:rFonts w:ascii="Times New Roman" w:hAnsi="Times New Roman"/>
          <w:color w:val="000000"/>
          <w:sz w:val="24"/>
          <w:szCs w:val="24"/>
          <w:lang w:val="ro-RO"/>
        </w:rPr>
      </w:pPr>
      <w:r>
        <w:rPr>
          <w:rStyle w:val="Applestylespan"/>
          <w:rFonts w:ascii="Times New Roman" w:hAnsi="Times New Roman"/>
          <w:bCs/>
          <w:color w:val="000000"/>
          <w:sz w:val="24"/>
          <w:szCs w:val="24"/>
          <w:lang w:val="ro-RO"/>
        </w:rPr>
        <w:t>Anuntarea rezultatelor</w:t>
      </w:r>
      <w:r>
        <w:rPr>
          <w:rFonts w:ascii="Times New Roman" w:hAnsi="Times New Roman"/>
          <w:color w:val="000000"/>
          <w:sz w:val="24"/>
          <w:szCs w:val="24"/>
          <w:lang w:val="ro-RO"/>
        </w:rPr>
        <w:t xml:space="preserve"> evaluarii proiectelor se va face in termen de max. 30 zile lucratoare de la incheierea termenului de depunere a proiectelor </w:t>
      </w:r>
      <w:r>
        <w:rPr>
          <w:rFonts w:ascii="Times New Roman" w:hAnsi="Times New Roman"/>
          <w:b/>
          <w:color w:val="000000"/>
          <w:sz w:val="24"/>
          <w:szCs w:val="24"/>
          <w:lang w:val="ro-RO"/>
        </w:rPr>
        <w:t>prin Raport de selectie intermediar</w:t>
      </w:r>
      <w:r>
        <w:rPr>
          <w:rFonts w:ascii="Times New Roman" w:hAnsi="Times New Roman"/>
          <w:color w:val="000000"/>
          <w:sz w:val="24"/>
          <w:szCs w:val="24"/>
          <w:lang w:val="ro-RO"/>
        </w:rPr>
        <w:t>. Raportul va fi publicat pe pagina de internet al GAL Angustia si afisat la sediul GAL.</w:t>
      </w:r>
    </w:p>
    <w:p>
      <w:pPr>
        <w:pStyle w:val="Normal"/>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t>In caz de contestatii, contestatiile vor fi prezentate Comisiei de Solutionare a Contestatiilor, alcatuit din min. 7 membrii ai parteneriatului GAL, nominalizati de catre Consiliul Director - altii decat membrii Comitetului de selectie, respectiv membrii supleanti ai Comitetului de Selectie. Comisia de solutionare a contestatiilor va lua decizia finala si va elabora Raportul final de selectie care va fi publicat si solicitantii in cauza vor fi notificati in scris</w:t>
      </w:r>
      <w:r>
        <w:rPr>
          <w:rFonts w:ascii="Times New Roman" w:hAnsi="Times New Roman"/>
          <w:color w:val="000000"/>
          <w:sz w:val="24"/>
          <w:szCs w:val="24"/>
          <w:lang w:val="ro-RO"/>
        </w:rPr>
        <w:t>,</w:t>
      </w:r>
      <w:r>
        <w:rPr>
          <w:rFonts w:cs="Times New Roman" w:ascii="Times New Roman" w:hAnsi="Times New Roman"/>
          <w:sz w:val="24"/>
          <w:szCs w:val="24"/>
        </w:rPr>
        <w:t xml:space="preserve"> despre rezultatul final.  </w:t>
      </w:r>
    </w:p>
    <w:p>
      <w:pPr>
        <w:pStyle w:val="Normal"/>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t>Tabelul de mai jos precizeaz</w:t>
      </w:r>
      <w:r>
        <w:rPr>
          <w:rFonts w:eastAsia="TimesNewRomanPSMT" w:cs="Times New Roman" w:ascii="Times New Roman" w:hAnsi="Times New Roman"/>
          <w:sz w:val="24"/>
          <w:szCs w:val="24"/>
        </w:rPr>
        <w:t xml:space="preserve">a </w:t>
      </w:r>
      <w:r>
        <w:rPr>
          <w:rFonts w:cs="Times New Roman" w:ascii="Times New Roman" w:hAnsi="Times New Roman"/>
          <w:sz w:val="24"/>
          <w:szCs w:val="24"/>
        </w:rPr>
        <w:t>componen</w:t>
      </w:r>
      <w:r>
        <w:rPr>
          <w:rFonts w:eastAsia="TimesNewRomanPSMT" w:cs="Times New Roman" w:ascii="Times New Roman" w:hAnsi="Times New Roman"/>
          <w:sz w:val="24"/>
          <w:szCs w:val="24"/>
        </w:rPr>
        <w:t>t</w:t>
      </w:r>
      <w:r>
        <w:rPr>
          <w:rFonts w:cs="Times New Roman" w:ascii="Times New Roman" w:hAnsi="Times New Roman"/>
          <w:sz w:val="24"/>
          <w:szCs w:val="24"/>
        </w:rPr>
        <w:t>a Comitetului de selectie a proiectelor selectate de GAL.</w:t>
      </w:r>
    </w:p>
    <w:p>
      <w:pPr>
        <w:pStyle w:val="Normal"/>
        <w:spacing w:lineRule="auto" w:line="276" w:before="0" w:after="120"/>
        <w:jc w:val="both"/>
        <w:rPr>
          <w:rFonts w:ascii="Times New Roman" w:hAnsi="Times New Roman" w:eastAsia="SimSun" w:cs="Times New Roman"/>
          <w:sz w:val="24"/>
          <w:szCs w:val="24"/>
        </w:rPr>
      </w:pPr>
      <w:r>
        <w:rPr>
          <w:rFonts w:eastAsia="SimSun" w:cs="Times New Roman" w:ascii="Times New Roman" w:hAnsi="Times New Roman"/>
          <w:sz w:val="24"/>
          <w:szCs w:val="24"/>
        </w:rPr>
        <w:t>1.1 Tabel cu componenta Comitetului de Selectie:</w:t>
      </w:r>
    </w:p>
    <w:tbl>
      <w:tblPr>
        <w:tblW w:w="8819" w:type="dxa"/>
        <w:jc w:val="left"/>
        <w:tblInd w:w="137" w:type="dxa"/>
        <w:tblLayout w:type="fixed"/>
        <w:tblCellMar>
          <w:top w:w="0" w:type="dxa"/>
          <w:left w:w="70" w:type="dxa"/>
          <w:bottom w:w="0" w:type="dxa"/>
          <w:right w:w="70" w:type="dxa"/>
        </w:tblCellMar>
        <w:tblLook w:firstRow="0" w:noVBand="1" w:lastRow="0" w:firstColumn="0" w:lastColumn="0" w:noHBand="0" w:val="0400"/>
      </w:tblPr>
      <w:tblGrid>
        <w:gridCol w:w="5035"/>
        <w:gridCol w:w="1985"/>
        <w:gridCol w:w="1799"/>
      </w:tblGrid>
      <w:tr>
        <w:trPr>
          <w:trHeight w:val="252" w:hRule="atLeast"/>
          <w:cantSplit w:val="true"/>
        </w:trPr>
        <w:tc>
          <w:tcPr>
            <w:tcW w:w="8819" w:type="dxa"/>
            <w:gridSpan w:val="3"/>
            <w:tcBorders>
              <w:top w:val="single" w:sz="4" w:space="0" w:color="000000"/>
              <w:left w:val="single" w:sz="4" w:space="0" w:color="000000"/>
              <w:bottom w:val="single" w:sz="4" w:space="0" w:color="000000"/>
              <w:right w:val="single" w:sz="4" w:space="0" w:color="000000"/>
            </w:tcBorders>
            <w:shd w:color="auto" w:fill="DBDBDB" w:val="clear"/>
          </w:tcPr>
          <w:p>
            <w:pPr>
              <w:pStyle w:val="Normal"/>
              <w:widowControl w:val="false"/>
              <w:spacing w:lineRule="auto" w:line="276" w:before="0" w:after="0"/>
              <w:jc w:val="both"/>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PARTENERI PUBLICI %</w:t>
            </w:r>
          </w:p>
        </w:tc>
      </w:tr>
      <w:tr>
        <w:trPr>
          <w:trHeight w:val="517"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firstLine="720"/>
              <w:jc w:val="both"/>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Partener</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Functia in C.S.</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Tip* /Observatii</w:t>
            </w:r>
          </w:p>
        </w:tc>
      </w:tr>
      <w:tr>
        <w:trPr>
          <w:trHeight w:val="252"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Comuna Lemnia</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ADMIN</w:t>
            </w:r>
          </w:p>
        </w:tc>
      </w:tr>
      <w:tr>
        <w:trPr>
          <w:trHeight w:val="121"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Comuna Estelnic</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ADMIN</w:t>
            </w:r>
          </w:p>
        </w:tc>
      </w:tr>
      <w:tr>
        <w:trPr>
          <w:trHeight w:val="84"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Comuna Sanzieni</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ADMIN</w:t>
            </w:r>
          </w:p>
        </w:tc>
      </w:tr>
      <w:tr>
        <w:trPr>
          <w:trHeight w:val="252" w:hRule="atLeast"/>
          <w:cantSplit w:val="true"/>
        </w:trPr>
        <w:tc>
          <w:tcPr>
            <w:tcW w:w="8819" w:type="dxa"/>
            <w:gridSpan w:val="3"/>
            <w:tcBorders>
              <w:top w:val="single" w:sz="4" w:space="0" w:color="000000"/>
              <w:left w:val="single" w:sz="4" w:space="0" w:color="000000"/>
              <w:bottom w:val="single" w:sz="4" w:space="0" w:color="000000"/>
              <w:right w:val="single" w:sz="4" w:space="0" w:color="000000"/>
            </w:tcBorders>
            <w:shd w:color="auto" w:fill="DBDBDB" w:val="clear"/>
          </w:tcPr>
          <w:p>
            <w:pPr>
              <w:pStyle w:val="Normal"/>
              <w:widowControl w:val="false"/>
              <w:spacing w:lineRule="auto" w:line="276"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PARTENERI PRIVATI %</w:t>
            </w:r>
          </w:p>
        </w:tc>
      </w:tr>
      <w:tr>
        <w:trPr>
          <w:trHeight w:val="517"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firstLine="720"/>
              <w:jc w:val="both"/>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Partener</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Functia in C.S.</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Tip* /Observatii</w:t>
            </w:r>
          </w:p>
        </w:tc>
      </w:tr>
      <w:tr>
        <w:trPr>
          <w:trHeight w:val="252"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S.C. Ardotrans S.R.L.</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IMM</w:t>
            </w:r>
          </w:p>
        </w:tc>
      </w:tr>
      <w:tr>
        <w:trPr>
          <w:trHeight w:val="252"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S.C. ROTRANS S.R.L.</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IMM</w:t>
            </w:r>
          </w:p>
        </w:tc>
      </w:tr>
      <w:tr>
        <w:trPr>
          <w:trHeight w:val="252"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S.C. Mangalica S.R.L.</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IMM</w:t>
            </w:r>
          </w:p>
        </w:tc>
      </w:tr>
      <w:tr>
        <w:trPr>
          <w:trHeight w:val="252" w:hRule="atLeast"/>
          <w:cantSplit w:val="true"/>
        </w:trPr>
        <w:tc>
          <w:tcPr>
            <w:tcW w:w="8819" w:type="dxa"/>
            <w:gridSpan w:val="3"/>
            <w:tcBorders>
              <w:top w:val="single" w:sz="4" w:space="0" w:color="000000"/>
              <w:left w:val="single" w:sz="4" w:space="0" w:color="000000"/>
              <w:bottom w:val="single" w:sz="4" w:space="0" w:color="000000"/>
              <w:right w:val="single" w:sz="4" w:space="0" w:color="000000"/>
            </w:tcBorders>
            <w:shd w:color="auto" w:fill="DBDBDB" w:val="clear"/>
          </w:tcPr>
          <w:p>
            <w:pPr>
              <w:pStyle w:val="Normal"/>
              <w:widowControl w:val="false"/>
              <w:spacing w:lineRule="auto" w:line="276"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ONG</w:t>
            </w:r>
          </w:p>
        </w:tc>
      </w:tr>
      <w:tr>
        <w:trPr>
          <w:trHeight w:val="503"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firstLine="720"/>
              <w:jc w:val="both"/>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Partener</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Functia in C.S.</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Tip* /Observatii</w:t>
            </w:r>
          </w:p>
        </w:tc>
      </w:tr>
      <w:tr>
        <w:trPr>
          <w:trHeight w:val="268"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Asociatia Ansamblul de Dans Popular Perko Nepitanc</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ONG</w:t>
            </w:r>
          </w:p>
        </w:tc>
      </w:tr>
      <w:tr>
        <w:trPr>
          <w:trHeight w:val="268"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Clubul Sportiv de Fotbal Nemere Poian</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ONG</w:t>
            </w:r>
          </w:p>
        </w:tc>
      </w:tr>
      <w:tr>
        <w:trPr>
          <w:trHeight w:val="70"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Composesoratul Estelnic</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ONG</w:t>
            </w:r>
          </w:p>
        </w:tc>
      </w:tr>
    </w:tbl>
    <w:p>
      <w:pPr>
        <w:pStyle w:val="Normal"/>
        <w:spacing w:lineRule="auto" w:line="276"/>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rPr>
          <w:rFonts w:ascii="Times New Roman" w:hAnsi="Times New Roman" w:cs="Times New Roman"/>
          <w:sz w:val="24"/>
          <w:szCs w:val="24"/>
        </w:rPr>
      </w:pPr>
      <w:r>
        <w:rPr>
          <w:rFonts w:cs="Times New Roman" w:ascii="Times New Roman" w:hAnsi="Times New Roman"/>
          <w:sz w:val="24"/>
          <w:szCs w:val="24"/>
        </w:rPr>
        <w:t>1.2 Membrii supleanti:</w:t>
      </w:r>
    </w:p>
    <w:tbl>
      <w:tblPr>
        <w:tblW w:w="8819" w:type="dxa"/>
        <w:jc w:val="left"/>
        <w:tblInd w:w="137" w:type="dxa"/>
        <w:tblLayout w:type="fixed"/>
        <w:tblCellMar>
          <w:top w:w="0" w:type="dxa"/>
          <w:left w:w="70" w:type="dxa"/>
          <w:bottom w:w="0" w:type="dxa"/>
          <w:right w:w="70" w:type="dxa"/>
        </w:tblCellMar>
        <w:tblLook w:firstRow="0" w:noVBand="1" w:lastRow="0" w:firstColumn="0" w:lastColumn="0" w:noHBand="0" w:val="0400"/>
      </w:tblPr>
      <w:tblGrid>
        <w:gridCol w:w="5035"/>
        <w:gridCol w:w="1985"/>
        <w:gridCol w:w="1799"/>
      </w:tblGrid>
      <w:tr>
        <w:trPr>
          <w:trHeight w:val="252" w:hRule="atLeast"/>
          <w:cantSplit w:val="true"/>
        </w:trPr>
        <w:tc>
          <w:tcPr>
            <w:tcW w:w="8819" w:type="dxa"/>
            <w:gridSpan w:val="3"/>
            <w:tcBorders>
              <w:top w:val="single" w:sz="4" w:space="0" w:color="000000"/>
              <w:left w:val="single" w:sz="4" w:space="0" w:color="000000"/>
              <w:bottom w:val="single" w:sz="4" w:space="0" w:color="000000"/>
              <w:right w:val="single" w:sz="4" w:space="0" w:color="000000"/>
            </w:tcBorders>
            <w:shd w:color="auto" w:fill="DBDBDB" w:val="clear"/>
          </w:tcPr>
          <w:p>
            <w:pPr>
              <w:pStyle w:val="Normal"/>
              <w:widowControl w:val="false"/>
              <w:spacing w:lineRule="auto" w:line="276" w:before="0" w:after="0"/>
              <w:jc w:val="both"/>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PARTENERI PUBLICI %</w:t>
            </w:r>
          </w:p>
        </w:tc>
      </w:tr>
      <w:tr>
        <w:trPr>
          <w:trHeight w:val="517"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firstLine="720"/>
              <w:jc w:val="both"/>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Partener</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Functia in C.S.</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Tip* /Observatii</w:t>
            </w:r>
          </w:p>
        </w:tc>
      </w:tr>
      <w:tr>
        <w:trPr>
          <w:trHeight w:val="252"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Comuna Bretcu</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ADMIN</w:t>
            </w:r>
          </w:p>
        </w:tc>
      </w:tr>
      <w:tr>
        <w:trPr>
          <w:trHeight w:val="121"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Comuna Catalina</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ADMIN</w:t>
            </w:r>
          </w:p>
        </w:tc>
      </w:tr>
      <w:tr>
        <w:trPr>
          <w:trHeight w:val="84"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Comuna Cernat</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ADMIN</w:t>
            </w:r>
          </w:p>
        </w:tc>
      </w:tr>
      <w:tr>
        <w:trPr>
          <w:trHeight w:val="252" w:hRule="atLeast"/>
          <w:cantSplit w:val="true"/>
        </w:trPr>
        <w:tc>
          <w:tcPr>
            <w:tcW w:w="8819" w:type="dxa"/>
            <w:gridSpan w:val="3"/>
            <w:tcBorders>
              <w:top w:val="single" w:sz="4" w:space="0" w:color="000000"/>
              <w:left w:val="single" w:sz="4" w:space="0" w:color="000000"/>
              <w:bottom w:val="single" w:sz="4" w:space="0" w:color="000000"/>
              <w:right w:val="single" w:sz="4" w:space="0" w:color="000000"/>
            </w:tcBorders>
            <w:shd w:color="auto" w:fill="DBDBDB" w:val="clear"/>
          </w:tcPr>
          <w:p>
            <w:pPr>
              <w:pStyle w:val="Normal"/>
              <w:widowControl w:val="false"/>
              <w:spacing w:lineRule="auto" w:line="276"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PARTENERI PRIVATI %</w:t>
            </w:r>
          </w:p>
        </w:tc>
      </w:tr>
      <w:tr>
        <w:trPr>
          <w:trHeight w:val="294"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firstLine="720"/>
              <w:jc w:val="both"/>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Partener</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Functia in C.S.</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Tip* /Observatii</w:t>
            </w:r>
          </w:p>
        </w:tc>
      </w:tr>
      <w:tr>
        <w:trPr>
          <w:trHeight w:val="252"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S.C. PRODUCTIE BINGO S.R.L.</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IMM</w:t>
            </w:r>
          </w:p>
        </w:tc>
      </w:tr>
      <w:tr>
        <w:trPr>
          <w:trHeight w:val="252"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S.C. FIDES IMPEX S.R.L.</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IMM</w:t>
            </w:r>
          </w:p>
        </w:tc>
      </w:tr>
      <w:tr>
        <w:trPr>
          <w:trHeight w:val="252"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S.C. M&amp;P AGRO S.R.L.</w:t>
            </w:r>
          </w:p>
        </w:tc>
        <w:tc>
          <w:tcPr>
            <w:tcW w:w="19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numPr>
                <w:ilvl w:val="0"/>
                <w:numId w:val="0"/>
              </w:numPr>
              <w:spacing w:lineRule="auto" w:line="276" w:before="0" w:after="0"/>
              <w:ind w:firstLine="720"/>
              <w:jc w:val="center"/>
              <w:outlineLvl w:val="2"/>
              <w:rPr>
                <w:rFonts w:ascii="Times New Roman" w:hAnsi="Times New Roman" w:eastAsia="Times New Roman" w:cs="Times New Roman"/>
                <w:sz w:val="24"/>
                <w:szCs w:val="24"/>
              </w:rPr>
            </w:pPr>
            <w:r>
              <w:rPr>
                <w:rFonts w:eastAsia="Times New Roman" w:cs="Times New Roman" w:ascii="Times New Roman" w:hAnsi="Times New Roman"/>
                <w:sz w:val="24"/>
                <w:szCs w:val="24"/>
              </w:rPr>
              <w:t>IMM</w:t>
            </w:r>
          </w:p>
        </w:tc>
      </w:tr>
      <w:tr>
        <w:trPr>
          <w:trHeight w:val="252" w:hRule="atLeast"/>
          <w:cantSplit w:val="true"/>
        </w:trPr>
        <w:tc>
          <w:tcPr>
            <w:tcW w:w="8819" w:type="dxa"/>
            <w:gridSpan w:val="3"/>
            <w:tcBorders>
              <w:top w:val="single" w:sz="4" w:space="0" w:color="000000"/>
              <w:left w:val="single" w:sz="4" w:space="0" w:color="000000"/>
              <w:bottom w:val="single" w:sz="4" w:space="0" w:color="000000"/>
              <w:right w:val="single" w:sz="4" w:space="0" w:color="000000"/>
            </w:tcBorders>
            <w:shd w:color="auto" w:fill="DBDBDB" w:val="clear"/>
          </w:tcPr>
          <w:p>
            <w:pPr>
              <w:pStyle w:val="Normal"/>
              <w:widowControl w:val="false"/>
              <w:spacing w:lineRule="auto" w:line="276"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ONG</w:t>
            </w:r>
          </w:p>
        </w:tc>
      </w:tr>
      <w:tr>
        <w:trPr>
          <w:trHeight w:val="297"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firstLine="720"/>
              <w:jc w:val="both"/>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Partener</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Functia in C.S.</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Tip* /Observatii</w:t>
            </w:r>
          </w:p>
        </w:tc>
      </w:tr>
      <w:tr>
        <w:trPr>
          <w:trHeight w:val="268"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Asociatia Proprietarilor Ramasi in Indiviziune „Laros” Ojdula</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ONG</w:t>
            </w:r>
          </w:p>
        </w:tc>
      </w:tr>
      <w:tr>
        <w:trPr>
          <w:trHeight w:val="268"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ANTREC filiala Covasna</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ONG</w:t>
            </w:r>
          </w:p>
        </w:tc>
      </w:tr>
      <w:tr>
        <w:trPr>
          <w:trHeight w:val="268" w:hRule="atLeast"/>
        </w:trPr>
        <w:tc>
          <w:tcPr>
            <w:tcW w:w="50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Fundatia „Alma Mater”</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Membru</w:t>
            </w:r>
          </w:p>
        </w:tc>
        <w:tc>
          <w:tcPr>
            <w:tcW w:w="17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jc w:val="center"/>
              <w:rPr>
                <w:rFonts w:ascii="Times New Roman" w:hAnsi="Times New Roman" w:eastAsia="Times New Roman" w:cs="Times New Roman"/>
                <w:bCs/>
                <w:sz w:val="24"/>
                <w:szCs w:val="24"/>
              </w:rPr>
            </w:pPr>
            <w:r>
              <w:rPr>
                <w:rFonts w:eastAsia="Times New Roman" w:cs="Times New Roman" w:ascii="Times New Roman" w:hAnsi="Times New Roman"/>
                <w:bCs/>
                <w:sz w:val="24"/>
                <w:szCs w:val="24"/>
              </w:rPr>
              <w:t>ONG</w:t>
            </w:r>
          </w:p>
        </w:tc>
      </w:tr>
    </w:tbl>
    <w:p>
      <w:pPr>
        <w:pStyle w:val="Normal"/>
        <w:spacing w:lineRule="auto" w:line="276" w:before="0" w:after="0"/>
        <w:rPr>
          <w:rFonts w:ascii="Times New Roman" w:hAnsi="Times New Roman" w:cs="Times New Roman"/>
          <w:b/>
          <w:b/>
          <w:bCs/>
          <w:sz w:val="24"/>
          <w:szCs w:val="24"/>
          <w:lang w:val="hu-HU" w:eastAsia="hu-HU"/>
        </w:rPr>
      </w:pPr>
      <w:r>
        <w:rPr>
          <w:rFonts w:cs="Times New Roman" w:ascii="Times New Roman" w:hAnsi="Times New Roman"/>
          <w:b/>
          <w:bCs/>
          <w:sz w:val="24"/>
          <w:szCs w:val="24"/>
          <w:lang w:val="hu-HU" w:eastAsia="hu-HU"/>
        </w:rPr>
      </w:r>
    </w:p>
    <w:p>
      <w:pPr>
        <w:pStyle w:val="Normal"/>
        <w:spacing w:lineRule="auto" w:line="276" w:before="0" w:after="0"/>
        <w:rPr>
          <w:rFonts w:ascii="Times New Roman" w:hAnsi="Times New Roman" w:cs="Times New Roman"/>
          <w:b/>
          <w:b/>
          <w:bCs/>
          <w:sz w:val="24"/>
          <w:szCs w:val="24"/>
          <w:lang w:val="hu-HU" w:eastAsia="hu-HU"/>
        </w:rPr>
      </w:pPr>
      <w:r>
        <w:rPr>
          <w:rFonts w:cs="Times New Roman" w:ascii="Times New Roman" w:hAnsi="Times New Roman"/>
          <w:b/>
          <w:bCs/>
          <w:sz w:val="24"/>
          <w:szCs w:val="24"/>
          <w:lang w:val="hu-HU" w:eastAsia="hu-HU"/>
        </w:rPr>
        <w:t>1.3 Regula „dublului cvorum”</w:t>
      </w:r>
    </w:p>
    <w:p>
      <w:pPr>
        <w:pStyle w:val="Normal"/>
        <w:spacing w:lineRule="auto" w:line="276" w:before="0" w:after="0"/>
        <w:rPr>
          <w:rFonts w:ascii="Times New Roman" w:hAnsi="Times New Roman" w:cs="Times New Roman"/>
          <w:sz w:val="24"/>
          <w:szCs w:val="24"/>
          <w:lang w:val="hu-HU" w:eastAsia="hu-HU"/>
        </w:rPr>
      </w:pPr>
      <w:r>
        <w:rPr>
          <w:rFonts w:cs="Times New Roman" w:ascii="Times New Roman" w:hAnsi="Times New Roman"/>
          <w:sz w:val="24"/>
          <w:szCs w:val="24"/>
          <w:lang w:val="hu-HU" w:eastAsia="hu-HU"/>
        </w:rPr>
        <w:t>1.3.1 Prezen</w:t>
      </w:r>
      <w:r>
        <w:rPr>
          <w:rFonts w:eastAsia="ArialMT" w:cs="Times New Roman" w:ascii="Times New Roman" w:hAnsi="Times New Roman"/>
          <w:sz w:val="24"/>
          <w:szCs w:val="24"/>
          <w:lang w:val="hu-HU" w:eastAsia="hu-HU"/>
        </w:rPr>
        <w:t xml:space="preserve">ta </w:t>
      </w:r>
      <w:r>
        <w:rPr>
          <w:rFonts w:cs="Times New Roman" w:ascii="Times New Roman" w:hAnsi="Times New Roman"/>
          <w:sz w:val="24"/>
          <w:szCs w:val="24"/>
          <w:lang w:val="hu-HU" w:eastAsia="hu-HU"/>
        </w:rPr>
        <w:t>minim</w:t>
      </w:r>
      <w:r>
        <w:rPr>
          <w:rFonts w:eastAsia="ArialMT" w:cs="Times New Roman" w:ascii="Times New Roman" w:hAnsi="Times New Roman"/>
          <w:sz w:val="24"/>
          <w:szCs w:val="24"/>
          <w:lang w:val="hu-HU" w:eastAsia="hu-HU"/>
        </w:rPr>
        <w:t xml:space="preserve">a </w:t>
      </w:r>
      <w:r>
        <w:rPr>
          <w:rFonts w:cs="Times New Roman" w:ascii="Times New Roman" w:hAnsi="Times New Roman"/>
          <w:sz w:val="24"/>
          <w:szCs w:val="24"/>
          <w:lang w:val="hu-HU" w:eastAsia="hu-HU"/>
        </w:rPr>
        <w:t>obligatorie</w:t>
      </w:r>
    </w:p>
    <w:p>
      <w:pPr>
        <w:pStyle w:val="Normal"/>
        <w:spacing w:lineRule="auto" w:line="276" w:before="0" w:after="0"/>
        <w:rPr>
          <w:rFonts w:ascii="Times New Roman" w:hAnsi="Times New Roman" w:cs="Times New Roman"/>
          <w:color w:val="1733FF"/>
          <w:sz w:val="24"/>
          <w:szCs w:val="24"/>
          <w:lang w:val="hu-HU" w:eastAsia="hu-HU"/>
        </w:rPr>
      </w:pPr>
      <w:r>
        <w:rPr>
          <w:rFonts w:cs="Times New Roman" w:ascii="Times New Roman" w:hAnsi="Times New Roman"/>
          <w:color w:val="1733FF"/>
          <w:sz w:val="24"/>
          <w:szCs w:val="24"/>
          <w:lang w:val="hu-HU" w:eastAsia="hu-HU"/>
        </w:rPr>
      </w:r>
    </w:p>
    <w:tbl>
      <w:tblPr>
        <w:tblW w:w="924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201"/>
        <w:gridCol w:w="3019"/>
        <w:gridCol w:w="3022"/>
      </w:tblGrid>
      <w:tr>
        <w:trPr/>
        <w:tc>
          <w:tcPr>
            <w:tcW w:w="3201"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 </w:t>
            </w:r>
          </w:p>
        </w:tc>
        <w:tc>
          <w:tcPr>
            <w:tcW w:w="3019" w:type="dxa"/>
            <w:tcBorders>
              <w:top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b/>
                <w:bCs/>
                <w:color w:val="000000"/>
                <w:sz w:val="24"/>
                <w:szCs w:val="24"/>
              </w:rPr>
              <w:t>Persoane</w:t>
            </w:r>
          </w:p>
        </w:tc>
        <w:tc>
          <w:tcPr>
            <w:tcW w:w="3022" w:type="dxa"/>
            <w:tcBorders>
              <w:top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b/>
                <w:bCs/>
                <w:color w:val="000000"/>
                <w:sz w:val="24"/>
                <w:szCs w:val="24"/>
              </w:rPr>
              <w:t>Procente</w:t>
            </w:r>
          </w:p>
        </w:tc>
      </w:tr>
      <w:tr>
        <w:trPr/>
        <w:tc>
          <w:tcPr>
            <w:tcW w:w="3201"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000000"/>
                <w:sz w:val="24"/>
                <w:szCs w:val="24"/>
              </w:rPr>
              <w:t>prezenta minima obligatorie</w:t>
            </w:r>
          </w:p>
        </w:tc>
        <w:tc>
          <w:tcPr>
            <w:tcW w:w="3019"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5</w:t>
            </w:r>
          </w:p>
        </w:tc>
        <w:tc>
          <w:tcPr>
            <w:tcW w:w="3022"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100%</w:t>
            </w:r>
          </w:p>
        </w:tc>
      </w:tr>
      <w:tr>
        <w:trPr/>
        <w:tc>
          <w:tcPr>
            <w:tcW w:w="3201"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000000"/>
                <w:sz w:val="24"/>
                <w:szCs w:val="24"/>
              </w:rPr>
              <w:t>ADMIN</w:t>
            </w:r>
          </w:p>
        </w:tc>
        <w:tc>
          <w:tcPr>
            <w:tcW w:w="3019"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1</w:t>
            </w:r>
          </w:p>
        </w:tc>
        <w:tc>
          <w:tcPr>
            <w:tcW w:w="3022"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20%</w:t>
            </w:r>
          </w:p>
        </w:tc>
      </w:tr>
      <w:tr>
        <w:trPr/>
        <w:tc>
          <w:tcPr>
            <w:tcW w:w="3201"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IMM+ONG</w:t>
            </w:r>
          </w:p>
        </w:tc>
        <w:tc>
          <w:tcPr>
            <w:tcW w:w="3019"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4</w:t>
            </w:r>
          </w:p>
        </w:tc>
        <w:tc>
          <w:tcPr>
            <w:tcW w:w="3022"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80%</w:t>
            </w:r>
          </w:p>
        </w:tc>
      </w:tr>
    </w:tbl>
    <w:p>
      <w:pPr>
        <w:pStyle w:val="Normal"/>
        <w:shd w:val="clear" w:color="auto" w:fill="FFFFFF"/>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 </w:t>
      </w:r>
    </w:p>
    <w:tbl>
      <w:tblPr>
        <w:tblW w:w="916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55"/>
        <w:gridCol w:w="3055"/>
        <w:gridCol w:w="3056"/>
      </w:tblGrid>
      <w:tr>
        <w:trPr/>
        <w:tc>
          <w:tcPr>
            <w:tcW w:w="3055"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 </w:t>
            </w:r>
          </w:p>
        </w:tc>
        <w:tc>
          <w:tcPr>
            <w:tcW w:w="3055" w:type="dxa"/>
            <w:tcBorders>
              <w:top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b/>
                <w:bCs/>
                <w:color w:val="000000"/>
                <w:sz w:val="24"/>
                <w:szCs w:val="24"/>
              </w:rPr>
              <w:t>Persoane</w:t>
            </w:r>
          </w:p>
        </w:tc>
        <w:tc>
          <w:tcPr>
            <w:tcW w:w="3056" w:type="dxa"/>
            <w:tcBorders>
              <w:top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b/>
                <w:bCs/>
                <w:color w:val="000000"/>
                <w:sz w:val="24"/>
                <w:szCs w:val="24"/>
              </w:rPr>
              <w:t>Procente</w:t>
            </w:r>
          </w:p>
        </w:tc>
      </w:tr>
      <w:tr>
        <w:trPr/>
        <w:tc>
          <w:tcPr>
            <w:tcW w:w="3055"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000000"/>
                <w:sz w:val="24"/>
                <w:szCs w:val="24"/>
              </w:rPr>
              <w:t>prezenta minima obligatorie</w:t>
            </w:r>
          </w:p>
        </w:tc>
        <w:tc>
          <w:tcPr>
            <w:tcW w:w="3055"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5</w:t>
            </w:r>
          </w:p>
        </w:tc>
        <w:tc>
          <w:tcPr>
            <w:tcW w:w="3056"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100%</w:t>
            </w:r>
          </w:p>
        </w:tc>
      </w:tr>
      <w:tr>
        <w:trPr/>
        <w:tc>
          <w:tcPr>
            <w:tcW w:w="3055"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000000"/>
                <w:sz w:val="24"/>
                <w:szCs w:val="24"/>
              </w:rPr>
              <w:t>ADMIN</w:t>
            </w:r>
          </w:p>
        </w:tc>
        <w:tc>
          <w:tcPr>
            <w:tcW w:w="3055"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2</w:t>
            </w:r>
          </w:p>
        </w:tc>
        <w:tc>
          <w:tcPr>
            <w:tcW w:w="3056"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40%</w:t>
            </w:r>
          </w:p>
        </w:tc>
      </w:tr>
      <w:tr>
        <w:trPr/>
        <w:tc>
          <w:tcPr>
            <w:tcW w:w="3055"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IMM+ONG</w:t>
            </w:r>
          </w:p>
        </w:tc>
        <w:tc>
          <w:tcPr>
            <w:tcW w:w="3055"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3</w:t>
            </w:r>
          </w:p>
        </w:tc>
        <w:tc>
          <w:tcPr>
            <w:tcW w:w="3056"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60%</w:t>
            </w:r>
          </w:p>
        </w:tc>
      </w:tr>
    </w:tbl>
    <w:p>
      <w:pPr>
        <w:pStyle w:val="Normal"/>
        <w:shd w:val="clear" w:color="auto" w:fill="FFFFFF"/>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 </w:t>
      </w:r>
    </w:p>
    <w:tbl>
      <w:tblPr>
        <w:tblW w:w="916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55"/>
        <w:gridCol w:w="3055"/>
        <w:gridCol w:w="3056"/>
      </w:tblGrid>
      <w:tr>
        <w:trPr/>
        <w:tc>
          <w:tcPr>
            <w:tcW w:w="3055"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 </w:t>
            </w:r>
          </w:p>
        </w:tc>
        <w:tc>
          <w:tcPr>
            <w:tcW w:w="3055" w:type="dxa"/>
            <w:tcBorders>
              <w:top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b/>
                <w:bCs/>
                <w:color w:val="000000"/>
                <w:sz w:val="24"/>
                <w:szCs w:val="24"/>
              </w:rPr>
              <w:t>Persoane</w:t>
            </w:r>
          </w:p>
        </w:tc>
        <w:tc>
          <w:tcPr>
            <w:tcW w:w="3056" w:type="dxa"/>
            <w:tcBorders>
              <w:top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b/>
                <w:bCs/>
                <w:color w:val="000000"/>
                <w:sz w:val="24"/>
                <w:szCs w:val="24"/>
              </w:rPr>
              <w:t>Procente</w:t>
            </w:r>
          </w:p>
        </w:tc>
      </w:tr>
      <w:tr>
        <w:trPr/>
        <w:tc>
          <w:tcPr>
            <w:tcW w:w="3055"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000000"/>
                <w:sz w:val="24"/>
                <w:szCs w:val="24"/>
              </w:rPr>
              <w:t>prezenta minima obligatorie</w:t>
            </w:r>
          </w:p>
        </w:tc>
        <w:tc>
          <w:tcPr>
            <w:tcW w:w="3055"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6</w:t>
            </w:r>
          </w:p>
        </w:tc>
        <w:tc>
          <w:tcPr>
            <w:tcW w:w="3056"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100%</w:t>
            </w:r>
          </w:p>
        </w:tc>
      </w:tr>
      <w:tr>
        <w:trPr/>
        <w:tc>
          <w:tcPr>
            <w:tcW w:w="3055"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000000"/>
                <w:sz w:val="24"/>
                <w:szCs w:val="24"/>
              </w:rPr>
              <w:t>ADMIN</w:t>
            </w:r>
          </w:p>
        </w:tc>
        <w:tc>
          <w:tcPr>
            <w:tcW w:w="3055"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1</w:t>
            </w:r>
          </w:p>
        </w:tc>
        <w:tc>
          <w:tcPr>
            <w:tcW w:w="3056"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17%</w:t>
            </w:r>
          </w:p>
        </w:tc>
      </w:tr>
      <w:tr>
        <w:trPr/>
        <w:tc>
          <w:tcPr>
            <w:tcW w:w="3055"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IMM+ONG</w:t>
            </w:r>
          </w:p>
        </w:tc>
        <w:tc>
          <w:tcPr>
            <w:tcW w:w="3055"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5</w:t>
            </w:r>
          </w:p>
        </w:tc>
        <w:tc>
          <w:tcPr>
            <w:tcW w:w="3056"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83%</w:t>
            </w:r>
          </w:p>
        </w:tc>
      </w:tr>
    </w:tbl>
    <w:p>
      <w:pPr>
        <w:pStyle w:val="Normal"/>
        <w:shd w:val="clear" w:color="auto" w:fill="FFFFFF"/>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 </w:t>
      </w:r>
    </w:p>
    <w:tbl>
      <w:tblPr>
        <w:tblW w:w="916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55"/>
        <w:gridCol w:w="3055"/>
        <w:gridCol w:w="3056"/>
      </w:tblGrid>
      <w:tr>
        <w:trPr/>
        <w:tc>
          <w:tcPr>
            <w:tcW w:w="3055"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 </w:t>
            </w:r>
          </w:p>
        </w:tc>
        <w:tc>
          <w:tcPr>
            <w:tcW w:w="3055" w:type="dxa"/>
            <w:tcBorders>
              <w:top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b/>
                <w:bCs/>
                <w:color w:val="000000"/>
                <w:sz w:val="24"/>
                <w:szCs w:val="24"/>
              </w:rPr>
              <w:t>Persoane</w:t>
            </w:r>
          </w:p>
        </w:tc>
        <w:tc>
          <w:tcPr>
            <w:tcW w:w="3056" w:type="dxa"/>
            <w:tcBorders>
              <w:top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b/>
                <w:bCs/>
                <w:color w:val="000000"/>
                <w:sz w:val="24"/>
                <w:szCs w:val="24"/>
              </w:rPr>
              <w:t>Procente</w:t>
            </w:r>
          </w:p>
        </w:tc>
      </w:tr>
      <w:tr>
        <w:trPr/>
        <w:tc>
          <w:tcPr>
            <w:tcW w:w="3055"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000000"/>
                <w:sz w:val="24"/>
                <w:szCs w:val="24"/>
              </w:rPr>
              <w:t>prezenta minima obligatorie</w:t>
            </w:r>
          </w:p>
        </w:tc>
        <w:tc>
          <w:tcPr>
            <w:tcW w:w="3055"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6</w:t>
            </w:r>
          </w:p>
        </w:tc>
        <w:tc>
          <w:tcPr>
            <w:tcW w:w="3056"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100%</w:t>
            </w:r>
          </w:p>
        </w:tc>
      </w:tr>
      <w:tr>
        <w:trPr/>
        <w:tc>
          <w:tcPr>
            <w:tcW w:w="3055"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000000"/>
                <w:sz w:val="24"/>
                <w:szCs w:val="24"/>
              </w:rPr>
              <w:t>ADMIN</w:t>
            </w:r>
          </w:p>
        </w:tc>
        <w:tc>
          <w:tcPr>
            <w:tcW w:w="3055"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2</w:t>
            </w:r>
          </w:p>
        </w:tc>
        <w:tc>
          <w:tcPr>
            <w:tcW w:w="3056"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33%</w:t>
            </w:r>
          </w:p>
        </w:tc>
      </w:tr>
      <w:tr>
        <w:trPr/>
        <w:tc>
          <w:tcPr>
            <w:tcW w:w="3055" w:type="dxa"/>
            <w:tcBorders>
              <w:left w:val="single" w:sz="8" w:space="0" w:color="000000"/>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IMM+ONG</w:t>
            </w:r>
          </w:p>
        </w:tc>
        <w:tc>
          <w:tcPr>
            <w:tcW w:w="3055"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4</w:t>
            </w:r>
          </w:p>
        </w:tc>
        <w:tc>
          <w:tcPr>
            <w:tcW w:w="3056" w:type="dxa"/>
            <w:tcBorders>
              <w:bottom w:val="single" w:sz="8" w:space="0" w:color="000000"/>
              <w:right w:val="single" w:sz="8" w:space="0" w:color="000000"/>
            </w:tcBorders>
            <w:shd w:color="auto" w:fill="FFFFFF" w:val="clear"/>
          </w:tcPr>
          <w:p>
            <w:pPr>
              <w:pStyle w:val="Normal"/>
              <w:widowControl w:val="false"/>
              <w:spacing w:lineRule="auto" w:line="276" w:before="0" w:after="0"/>
              <w:jc w:val="center"/>
              <w:rPr>
                <w:rFonts w:ascii="Times New Roman" w:hAnsi="Times New Roman" w:eastAsia="Times New Roman" w:cs="Times New Roman"/>
                <w:color w:val="222222"/>
                <w:sz w:val="24"/>
                <w:szCs w:val="24"/>
              </w:rPr>
            </w:pPr>
            <w:r>
              <w:rPr>
                <w:rFonts w:eastAsia="Times New Roman" w:cs="Times New Roman" w:ascii="Times New Roman" w:hAnsi="Times New Roman"/>
                <w:color w:val="222222"/>
                <w:sz w:val="24"/>
                <w:szCs w:val="24"/>
              </w:rPr>
              <w:t>67%</w:t>
            </w:r>
          </w:p>
        </w:tc>
      </w:tr>
    </w:tbl>
    <w:p>
      <w:pPr>
        <w:pStyle w:val="Normal"/>
        <w:rPr>
          <w:rFonts w:ascii="Times New Roman" w:hAnsi="Times New Roman" w:cs="Times New Roman"/>
          <w:sz w:val="24"/>
          <w:szCs w:val="24"/>
        </w:rPr>
      </w:pPr>
      <w:r>
        <w:br w:type="page"/>
      </w:r>
      <w:r>
        <w:rPr>
          <w:rFonts w:cs="Times New Roman" w:ascii="Times New Roman" w:hAnsi="Times New Roman"/>
          <w:b/>
          <w:bCs/>
          <w:sz w:val="24"/>
          <w:szCs w:val="24"/>
        </w:rPr>
        <w:t>Varianta detaliata</w:t>
      </w:r>
    </w:p>
    <w:p>
      <w:pPr>
        <w:pStyle w:val="Normal"/>
        <w:rPr>
          <w:rFonts w:ascii="Times New Roman" w:hAnsi="Times New Roman" w:cs="Times New Roman"/>
          <w:sz w:val="24"/>
          <w:szCs w:val="24"/>
        </w:rPr>
      </w:pPr>
      <w:r>
        <w:rPr>
          <w:rFonts w:cs="Times New Roman" w:ascii="Times New Roman" w:hAnsi="Times New Roman"/>
          <w:b/>
          <w:bCs/>
          <w:sz w:val="24"/>
          <w:szCs w:val="24"/>
        </w:rPr>
        <w:t>Articolul 1</w:t>
      </w:r>
      <w:r>
        <w:rPr>
          <w:rFonts w:cs="Times New Roman" w:ascii="Times New Roman" w:hAnsi="Times New Roman"/>
          <w:sz w:val="24"/>
          <w:szCs w:val="24"/>
        </w:rPr>
        <w:br/>
      </w:r>
      <w:r>
        <w:rPr>
          <w:rFonts w:cs="Times New Roman" w:ascii="Times New Roman" w:hAnsi="Times New Roman"/>
          <w:b/>
          <w:bCs/>
          <w:sz w:val="24"/>
          <w:szCs w:val="24"/>
        </w:rPr>
        <w:t>Dispozitii generale</w:t>
      </w:r>
    </w:p>
    <w:p>
      <w:pPr>
        <w:pStyle w:val="Normal"/>
        <w:jc w:val="both"/>
        <w:rPr>
          <w:rFonts w:ascii="Times New Roman" w:hAnsi="Times New Roman" w:cs="Times New Roman"/>
          <w:b/>
          <w:b/>
          <w:bCs/>
          <w:sz w:val="24"/>
          <w:szCs w:val="24"/>
        </w:rPr>
      </w:pPr>
      <w:r>
        <w:rPr>
          <w:rFonts w:cs="Times New Roman" w:ascii="Times New Roman" w:hAnsi="Times New Roman"/>
          <w:sz w:val="24"/>
          <w:szCs w:val="24"/>
        </w:rPr>
        <w:t>1. Comitetul de selectie al proiectelor (CS) reprezinta organismul tehnic cu responsabilitati privind selectarea pentru finantare a proiectelor depuse in cadrul masurilor din Strategia de Dezvoltare Locala (SDL), in conformitate cu Statutul Asociatiei si cu procedura de selectie prezentata in Strategia de Dezvoltare Locala.</w:t>
        <w:br/>
        <w:t>2. Comisia de contestatii (CC) reprezinta organismul tehnic cu responsabilitati privind solutionarea contestatiilor adresate privind rezultatele procesului de evaluare si selectie al proiectelor pentru finantare.</w:t>
        <w:br/>
        <w:t>3. Comitetul de selectie al proiectelor si Comisia de contestatii sunt organizate si functioneaza in conformitate cu prevederile prezentului Procedura de selectie precum si in conformitate cu Ghidul solicitantului “</w:t>
      </w:r>
      <w:r>
        <w:rPr>
          <w:rFonts w:cs="Times New Roman" w:ascii="Times New Roman" w:hAnsi="Times New Roman"/>
          <w:bCs/>
          <w:iCs/>
          <w:sz w:val="24"/>
          <w:szCs w:val="24"/>
        </w:rPr>
        <w:t>Sprijin pentru implementarea acțiunilor în cadrul strategiei de dezvoltare locală</w:t>
      </w:r>
      <w:r>
        <w:rPr>
          <w:rFonts w:cs="Times New Roman" w:ascii="Times New Roman" w:hAnsi="Times New Roman"/>
          <w:sz w:val="24"/>
          <w:szCs w:val="24"/>
        </w:rPr>
        <w:t>” – Sub-Masura 19.2 , si in conformitate cu Manualul de procedura pentru implementarea contractelor de finantare aferente Masurii 19.</w:t>
        <w:br/>
      </w:r>
    </w:p>
    <w:p>
      <w:pPr>
        <w:pStyle w:val="Normal"/>
        <w:rPr>
          <w:rFonts w:ascii="Times New Roman" w:hAnsi="Times New Roman" w:cs="Times New Roman"/>
          <w:sz w:val="24"/>
          <w:szCs w:val="24"/>
        </w:rPr>
      </w:pPr>
      <w:r>
        <w:rPr>
          <w:rFonts w:cs="Times New Roman" w:ascii="Times New Roman" w:hAnsi="Times New Roman"/>
          <w:b/>
          <w:bCs/>
          <w:sz w:val="24"/>
          <w:szCs w:val="24"/>
        </w:rPr>
        <w:t>Articolul 2 Definitii</w:t>
      </w:r>
    </w:p>
    <w:p>
      <w:pPr>
        <w:pStyle w:val="Normal"/>
        <w:rPr>
          <w:rFonts w:ascii="Times New Roman" w:hAnsi="Times New Roman" w:cs="Times New Roman"/>
          <w:sz w:val="24"/>
          <w:szCs w:val="24"/>
        </w:rPr>
      </w:pPr>
      <w:r>
        <w:rPr>
          <w:rFonts w:cs="Times New Roman" w:ascii="Times New Roman" w:hAnsi="Times New Roman"/>
          <w:sz w:val="24"/>
          <w:szCs w:val="24"/>
        </w:rPr>
        <w:t>1. GAL = Grupul de Actiune Locala Asociatia Angustia Egyesulet</w:t>
        <w:br/>
        <w:t>2. SDL = Strategia de Dezvoltare Locala al GAL Asociatia Angustia Egyesulet, document ce a stat la baza procesului de selectie al GAL</w:t>
        <w:br/>
        <w:t>3. AFIR = Agentia pentru Finantarea Investitiilor Rurale</w:t>
        <w:br/>
        <w:t>4. OJFIR = Oficiul Judetean pentru Finantarea Investitiilor Rurale</w:t>
        <w:br/>
        <w:t>5. CRFIR = Centrul Regional pentru Finantarea Investitiilor Rurale</w:t>
        <w:br/>
        <w:t>6. Masura = defineşte aria de finanţare prin care se poate realiza cofinanţarea proiectelor (reprezintă o sumă de activităţi cofinanţate prin fonduri nerambursabile).</w:t>
        <w:br/>
        <w:t>7. Sesiune de depunere proiecte = reprezinta perioada calendaristica in cadrul careia GAL poate primi proiecte din partea potentialilor beneficiari.</w:t>
        <w:br/>
        <w:t>8. Sesiune de selectie = reprezinta lucrarile Comitetului de selectie al proiectelor si ale Comisiei de contestatii, concretizate in Raportul de selectie si Raportul de contestatii.</w:t>
      </w:r>
    </w:p>
    <w:p>
      <w:pPr>
        <w:pStyle w:val="Normal"/>
        <w:rPr>
          <w:rFonts w:ascii="Times New Roman" w:hAnsi="Times New Roman" w:cs="Times New Roman"/>
          <w:sz w:val="24"/>
          <w:szCs w:val="24"/>
        </w:rPr>
      </w:pPr>
      <w:r>
        <w:rPr>
          <w:rFonts w:cs="Times New Roman" w:ascii="Times New Roman" w:hAnsi="Times New Roman"/>
          <w:b/>
          <w:bCs/>
          <w:sz w:val="24"/>
          <w:szCs w:val="24"/>
        </w:rPr>
        <w:t>Articolul 3</w:t>
      </w:r>
      <w:r>
        <w:rPr>
          <w:rFonts w:cs="Times New Roman" w:ascii="Times New Roman" w:hAnsi="Times New Roman"/>
          <w:sz w:val="24"/>
          <w:szCs w:val="24"/>
        </w:rPr>
        <w:br/>
      </w:r>
      <w:r>
        <w:rPr>
          <w:rFonts w:cs="Times New Roman" w:ascii="Times New Roman" w:hAnsi="Times New Roman"/>
          <w:b/>
          <w:bCs/>
          <w:sz w:val="24"/>
          <w:szCs w:val="24"/>
        </w:rPr>
        <w:t>Componenta Comitetului de Selectie si a Comisiei de Contestatii</w:t>
      </w:r>
    </w:p>
    <w:p>
      <w:pPr>
        <w:pStyle w:val="Normal"/>
        <w:jc w:val="both"/>
        <w:rPr>
          <w:rFonts w:ascii="Times New Roman" w:hAnsi="Times New Roman" w:cs="Times New Roman"/>
          <w:sz w:val="24"/>
          <w:szCs w:val="24"/>
        </w:rPr>
      </w:pPr>
      <w:r>
        <w:rPr>
          <w:rFonts w:cs="Times New Roman" w:ascii="Times New Roman" w:hAnsi="Times New Roman"/>
          <w:sz w:val="24"/>
          <w:szCs w:val="24"/>
        </w:rPr>
        <w:t>1. Comitetul de selectie a proiectelor este format din reprezentanti ai membrilor Grupului de Actiune Locala. Componenta Comitetului de selectie este prevazut in Strategia de Dezvoltare Locala al GAL Asociatia Angustia Egyesulet. Componenta Comitetului de selectie poate fi modificata prin hotararea Adunarii generale.</w:t>
        <w:br/>
        <w:t>2. Pentru transparenta procesului de selectie a proiectelor si pentru efectuarea activitatilor de control si monitorizare, la selectii va lua parte si un reprezentant al CDRJ. Componenta Comitetului de Selectie este diferita de cea a Comisiei de Contestatii.</w:t>
        <w:br/>
        <w:t xml:space="preserve">3. Comitetul de selectie are 9 membri titulari si 9 membri supleanti, reprezentand diversele categorii de parteneri, astfel incat partenerii privati sa fie reprezentati in proportie de peste 50%. Cei </w:t>
      </w:r>
      <w:r>
        <w:rPr>
          <w:rFonts w:cs="Times New Roman" w:ascii="Times New Roman" w:hAnsi="Times New Roman"/>
          <w:color w:val="FF0000"/>
          <w:sz w:val="24"/>
          <w:szCs w:val="24"/>
        </w:rPr>
        <w:t xml:space="preserve"> </w:t>
      </w:r>
      <w:r>
        <w:rPr>
          <w:rFonts w:cs="Times New Roman" w:ascii="Times New Roman" w:hAnsi="Times New Roman"/>
          <w:sz w:val="24"/>
          <w:szCs w:val="24"/>
        </w:rPr>
        <w:t>9 membri vor fi din urmatoarele categorii:</w:t>
        <w:br/>
        <w:t>– 3 reprezentanti ai sectorului public</w:t>
        <w:br/>
        <w:t>– 3 reprezentanti ai sectorului privat</w:t>
        <w:br/>
        <w:t>– 3 reprezentanti ai societatii civile.</w:t>
      </w:r>
    </w:p>
    <w:p>
      <w:pPr>
        <w:pStyle w:val="Normal"/>
        <w:jc w:val="both"/>
        <w:rPr>
          <w:rFonts w:ascii="Times New Roman" w:hAnsi="Times New Roman" w:cs="Times New Roman"/>
          <w:color w:val="FF0000"/>
          <w:sz w:val="24"/>
          <w:szCs w:val="24"/>
        </w:rPr>
      </w:pPr>
      <w:r>
        <w:rPr>
          <w:rFonts w:cs="Times New Roman" w:ascii="Times New Roman" w:hAnsi="Times New Roman"/>
          <w:sz w:val="24"/>
          <w:szCs w:val="24"/>
        </w:rPr>
        <w:t xml:space="preserve">4. Comisia de contestatii este alcatuita din  minim 7 membri, dupa cum urmeaza: un presedinte, un secretar si 5 membri. </w:t>
        <w:br/>
        <w:t>5. Comisia de contestatii este format din reprezentanti ai membrilor Grupului de Actiune Locala. Componenta Comisiei de contestatii este nominalizat de catre Consiliul Director, altii decat membrii Comitetului de Selectie si supleanti.</w:t>
      </w:r>
    </w:p>
    <w:p>
      <w:pPr>
        <w:pStyle w:val="Normal"/>
        <w:jc w:val="both"/>
        <w:rPr>
          <w:rFonts w:ascii="Times New Roman" w:hAnsi="Times New Roman" w:cs="Times New Roman"/>
          <w:sz w:val="24"/>
          <w:szCs w:val="24"/>
        </w:rPr>
      </w:pPr>
      <w:r>
        <w:rPr>
          <w:rFonts w:cs="Times New Roman" w:ascii="Times New Roman" w:hAnsi="Times New Roman"/>
          <w:sz w:val="24"/>
          <w:szCs w:val="24"/>
        </w:rPr>
        <w:t>6. In situatia in care persoana desemnata in Comitetul de Selectie sau Comisia de Contestatii nu poate participa, din motive obiective la lucrarile unei sesiuni de selectie, inlocuirea acesteia se face de catre presedinte prin convocarea supleantului care va prelua atributiile titularului.</w:t>
      </w:r>
    </w:p>
    <w:p>
      <w:pPr>
        <w:pStyle w:val="Normal"/>
        <w:rPr>
          <w:rFonts w:ascii="Times New Roman" w:hAnsi="Times New Roman" w:cs="Times New Roman"/>
          <w:sz w:val="24"/>
          <w:szCs w:val="24"/>
        </w:rPr>
      </w:pPr>
      <w:r>
        <w:rPr>
          <w:rFonts w:cs="Times New Roman" w:ascii="Times New Roman" w:hAnsi="Times New Roman"/>
          <w:b/>
          <w:bCs/>
          <w:sz w:val="24"/>
          <w:szCs w:val="24"/>
        </w:rPr>
        <w:t>Articolul 4</w:t>
      </w:r>
      <w:r>
        <w:rPr>
          <w:rFonts w:cs="Times New Roman" w:ascii="Times New Roman" w:hAnsi="Times New Roman"/>
          <w:sz w:val="24"/>
          <w:szCs w:val="24"/>
        </w:rPr>
        <w:br/>
      </w:r>
      <w:r>
        <w:rPr>
          <w:rFonts w:cs="Times New Roman" w:ascii="Times New Roman" w:hAnsi="Times New Roman"/>
          <w:b/>
          <w:bCs/>
          <w:sz w:val="24"/>
          <w:szCs w:val="24"/>
        </w:rPr>
        <w:t>Obligatiile Comitetului de Selectie si ale Comisiei de Contestatii</w:t>
      </w:r>
    </w:p>
    <w:p>
      <w:pPr>
        <w:pStyle w:val="Normal"/>
        <w:jc w:val="both"/>
        <w:rPr>
          <w:rFonts w:ascii="Times New Roman" w:hAnsi="Times New Roman" w:cs="Times New Roman"/>
          <w:sz w:val="24"/>
          <w:szCs w:val="24"/>
        </w:rPr>
      </w:pPr>
      <w:r>
        <w:rPr>
          <w:rFonts w:cs="Times New Roman" w:ascii="Times New Roman" w:hAnsi="Times New Roman"/>
          <w:sz w:val="24"/>
          <w:szCs w:val="24"/>
        </w:rPr>
        <w:t>1) Presedintele, membrii si secretarul Comitetului de Selectie si ai Comisiei de Contestatii, in indeplinirea atributiilor ce le revin ca urmare a prezentei Proceduri, au urmatoarele obligatii:</w:t>
        <w:br/>
        <w:t>1. de a respecta intocmai regulile stabilite in cadrul prezentei Proceduri,</w:t>
        <w:br/>
        <w:t>2. de a respecta confidentialitatea lucrarilor si impartialitatea in adoptarea deciziilor;</w:t>
        <w:br/>
        <w:t>3. de a se implica direct in promovarea programului de finantare catre potentialii beneficiari;</w:t>
        <w:br/>
        <w:t>4. de a studia rapoartele de evaluare si de a decide cu privire la proiectele care vor fi finantate in cadrul strategiei de dezvoltare a teritoriului;</w:t>
      </w:r>
      <w:r>
        <w:rPr>
          <w:rFonts w:cs="Times New Roman" w:ascii="Times New Roman" w:hAnsi="Times New Roman"/>
          <w:color w:val="FF0000"/>
          <w:sz w:val="24"/>
          <w:szCs w:val="24"/>
        </w:rPr>
        <w:br/>
      </w:r>
      <w:r>
        <w:rPr>
          <w:rFonts w:cs="Times New Roman" w:ascii="Times New Roman" w:hAnsi="Times New Roman"/>
          <w:sz w:val="24"/>
          <w:szCs w:val="24"/>
        </w:rPr>
        <w:t>5. de a raporta Adunarii Generale cu privire la stadiul implementarii strategiei.</w:t>
        <w:br/>
        <w:t xml:space="preserve">Comitetul de selectie se intruneste in functie de sesiunile de primire proiecte pentru a fi selectate proiectele depuse. Sedintele sunt convocate de catre Presedintele Comitetului de selectie. </w:t>
      </w:r>
    </w:p>
    <w:p>
      <w:pPr>
        <w:pStyle w:val="Normal"/>
        <w:jc w:val="both"/>
        <w:rPr>
          <w:rFonts w:ascii="Times New Roman" w:hAnsi="Times New Roman" w:cs="Times New Roman"/>
          <w:sz w:val="24"/>
          <w:szCs w:val="24"/>
        </w:rPr>
      </w:pPr>
      <w:r>
        <w:rPr>
          <w:rFonts w:cs="Times New Roman" w:ascii="Times New Roman" w:hAnsi="Times New Roman"/>
          <w:sz w:val="24"/>
          <w:szCs w:val="24"/>
        </w:rPr>
        <w:t>Sunt invitati sa participe la sedinte cei 9 membri titulari cu drept de vot, iar in conditiile in care acestia nu pot participa, vor informa Presedintele si acesta va delega membrii supleanti. In situatiile exceptionale in care nici membrul titular, nici supleantul</w:t>
      </w:r>
      <w:r>
        <w:rPr>
          <w:rFonts w:cs="Times New Roman" w:ascii="Times New Roman" w:hAnsi="Times New Roman"/>
          <w:color w:val="FF0000"/>
          <w:sz w:val="24"/>
          <w:szCs w:val="24"/>
        </w:rPr>
        <w:t xml:space="preserve"> </w:t>
      </w:r>
      <w:r>
        <w:rPr>
          <w:rFonts w:cs="Times New Roman" w:ascii="Times New Roman" w:hAnsi="Times New Roman"/>
          <w:sz w:val="24"/>
          <w:szCs w:val="24"/>
        </w:rPr>
        <w:t>nu poate participa, inlocuirea acestora se face de catre Presedinte, prin convocarea unui alt membru supleant care va prelua atributiile titularului. Delegarea este valabila doar pentru sedinta in cauza.</w:t>
        <w:br/>
        <w:t>Luarea deciziilor in cadrul comitetului de selectie se face cu aplicarea regulii dublului cvorum:</w:t>
        <w:br/>
        <w:t>– este necesara prezenta a cel putin 50% din membrii comitetului de selectie,</w:t>
        <w:br/>
        <w:t>– din care peste 50% sa fie mediul privat (societate civila si mediul de afaceri).</w:t>
        <w:br/>
        <w:t>Cvorumul este verificat de catre Presedintele de sedinta, in deschiderea acesteia.</w:t>
        <w:br/>
        <w:t>Decizia cu privire la finantarea proiectelor se ia prin consens sau vot cu majoritate simpla (50% plus unu dintre membrii prezenti). In conditiile in care unul sau mai multi membri solicita votul secret, se poate trece la vot secret.</w:t>
      </w:r>
    </w:p>
    <w:p>
      <w:pPr>
        <w:pStyle w:val="Normal"/>
        <w:jc w:val="both"/>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rmal"/>
        <w:rPr>
          <w:rFonts w:ascii="Times New Roman" w:hAnsi="Times New Roman" w:cs="Times New Roman"/>
          <w:sz w:val="24"/>
          <w:szCs w:val="24"/>
        </w:rPr>
      </w:pPr>
      <w:r>
        <w:rPr>
          <w:rFonts w:cs="Times New Roman" w:ascii="Times New Roman" w:hAnsi="Times New Roman"/>
          <w:b/>
          <w:bCs/>
          <w:sz w:val="24"/>
          <w:szCs w:val="24"/>
        </w:rPr>
        <w:t>Articolul 5</w:t>
      </w:r>
      <w:r>
        <w:rPr>
          <w:rFonts w:cs="Times New Roman" w:ascii="Times New Roman" w:hAnsi="Times New Roman"/>
          <w:sz w:val="24"/>
          <w:szCs w:val="24"/>
        </w:rPr>
        <w:br/>
      </w:r>
      <w:r>
        <w:rPr>
          <w:rFonts w:cs="Times New Roman" w:ascii="Times New Roman" w:hAnsi="Times New Roman"/>
          <w:b/>
          <w:bCs/>
          <w:sz w:val="24"/>
          <w:szCs w:val="24"/>
        </w:rPr>
        <w:t>Lansarea sesiunii de depunere a proiectelor</w:t>
      </w:r>
    </w:p>
    <w:p>
      <w:pPr>
        <w:pStyle w:val="ListParagraph"/>
        <w:numPr>
          <w:ilvl w:val="0"/>
          <w:numId w:val="1"/>
        </w:numPr>
        <w:spacing w:lineRule="auto" w:line="240" w:before="0" w:after="0"/>
        <w:ind w:left="0" w:hanging="0"/>
        <w:contextualSpacing/>
        <w:jc w:val="both"/>
        <w:rPr>
          <w:rFonts w:ascii="Times New Roman" w:hAnsi="Times New Roman" w:cs="Times New Roman"/>
          <w:color w:val="FF0000"/>
          <w:sz w:val="24"/>
          <w:szCs w:val="24"/>
        </w:rPr>
      </w:pPr>
      <w:r>
        <w:rPr>
          <w:rFonts w:cs="Times New Roman" w:ascii="Times New Roman" w:hAnsi="Times New Roman"/>
          <w:sz w:val="24"/>
          <w:szCs w:val="24"/>
        </w:rPr>
        <w:t>Criteriile de selectie aferente fiecarei masuri care intra sub incidenta procedurii de selectie sunt prevazute in Strategia de Dezvoltare Locala.</w:t>
      </w:r>
      <w:r>
        <w:rPr>
          <w:rFonts w:cs="Times New Roman" w:ascii="Times New Roman" w:hAnsi="Times New Roman"/>
          <w:color w:val="FF0000"/>
          <w:sz w:val="24"/>
          <w:szCs w:val="24"/>
        </w:rPr>
        <w:br/>
        <w:br/>
      </w:r>
      <w:r>
        <w:rPr>
          <w:rFonts w:cs="Times New Roman" w:ascii="Times New Roman" w:hAnsi="Times New Roman"/>
          <w:sz w:val="24"/>
          <w:szCs w:val="24"/>
        </w:rPr>
        <w:t xml:space="preserve">2. Consiliul Director aproba criteriile selectie aferente masurilor inaintea sesiunilor de primire a proiectelor, cel tarziu pana la data publicarii anuntului de lansare a sesiunii. </w:t>
      </w:r>
    </w:p>
    <w:p>
      <w:pPr>
        <w:pStyle w:val="ListParagraph"/>
        <w:spacing w:lineRule="auto" w:line="240"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t>3. Consiliul director aproba sau dupa caz, stabileste/revizuieste punctajele aferente criteriilor de selectie aferente masurilor, inaintea sesiunilor de primire a proiectelor, cel tarziu pana la data publicarii anuntului de lansare a sesiunii.</w:t>
        <w:br/>
        <w:t>6. Pentru fiecare an calendaristic, managerul GAL propune spre avizare Presedintelui asociatiei calendarul de lansare a sesiunilor de depunere a proiectelor si alocarea totala pentru fiecare masura in parte.</w:t>
        <w:br/>
        <w:t>7. Propunerea de calendar poate fi modificata oricand de catre Presedintele asociatiei.</w:t>
      </w:r>
    </w:p>
    <w:p>
      <w:pPr>
        <w:pStyle w:val="ListParagraph"/>
        <w:spacing w:lineRule="auto" w:line="240" w:before="0" w:after="0"/>
        <w:ind w:left="0" w:hanging="0"/>
        <w:contextualSpacing/>
        <w:jc w:val="both"/>
        <w:rPr>
          <w:rFonts w:ascii="Times New Roman" w:hAnsi="Times New Roman" w:eastAsia="Calibri" w:cs="Times New Roman" w:eastAsiaTheme="minorHAnsi"/>
          <w:sz w:val="23"/>
          <w:szCs w:val="23"/>
        </w:rPr>
      </w:pPr>
      <w:r>
        <w:rPr>
          <w:rFonts w:eastAsia="Calibri" w:cs="Times New Roman" w:ascii="Times New Roman" w:hAnsi="Times New Roman" w:eastAsiaTheme="minorHAnsi"/>
          <w:sz w:val="23"/>
          <w:szCs w:val="23"/>
        </w:rPr>
        <w:t xml:space="preserve">Calendarul estimativ poate fi modificat, conform prevederilor din regulamentul de funcționare, cu cel puțin 5 zile înaintea începerii sesiunii, putând fi devansate sesiunile și modificate alocările, în sensul creșterii sau diminuării acestora. Pentru asigurarea transparenței, Calendarul estimativ și Calendarul modificat vor fi postate pe pagina web a GAL. </w:t>
      </w:r>
    </w:p>
    <w:p>
      <w:pPr>
        <w:pStyle w:val="ListParagraph"/>
        <w:spacing w:lineRule="auto" w:line="240" w:before="0" w:after="0"/>
        <w:ind w:left="0" w:hanging="0"/>
        <w:contextualSpacing/>
        <w:jc w:val="both"/>
        <w:rPr>
          <w:rFonts w:ascii="Times New Roman" w:hAnsi="Times New Roman" w:cs="Times New Roman"/>
          <w:sz w:val="24"/>
          <w:szCs w:val="24"/>
        </w:rPr>
      </w:pPr>
      <w:r>
        <w:rPr>
          <w:rFonts w:cs="Times New Roman" w:ascii="Times New Roman" w:hAnsi="Times New Roman"/>
          <w:sz w:val="24"/>
          <w:szCs w:val="24"/>
        </w:rPr>
        <w:t>8. Perioada de desfasurare a sesiunii de depunere a proiectelor poate fi prelungita la solicitarea managerului GAL, pe baza unei hotarari a Consiliul Director.</w:t>
        <w:br/>
        <w:t>9. O sesiune de depunere a proiectelor poate fi amanata sau dupa caz, anulata, doar inainte de data stabilita pentru lansarea acesteia, la propunerea motivata a managerului GAL sau a Consiliului Director precum si la solicitarea motivata a DGDR-AM.</w:t>
      </w:r>
      <w:r>
        <w:rPr>
          <w:rFonts w:cs="Times New Roman" w:ascii="Times New Roman" w:hAnsi="Times New Roman"/>
          <w:color w:val="FF0000"/>
          <w:sz w:val="24"/>
          <w:szCs w:val="24"/>
        </w:rPr>
        <w:br/>
      </w:r>
      <w:r>
        <w:rPr>
          <w:rFonts w:cs="Times New Roman" w:ascii="Times New Roman" w:hAnsi="Times New Roman"/>
          <w:sz w:val="24"/>
          <w:szCs w:val="24"/>
        </w:rPr>
        <w:t>10. Apelul de selectie se lanseaza cu minim 30 de zile calendaristice inainte de data limita de depunere a proiectelor.</w:t>
      </w:r>
    </w:p>
    <w:p>
      <w:pPr>
        <w:pStyle w:val="ListParagraph"/>
        <w:spacing w:lineRule="auto" w:line="240" w:before="0" w:after="0"/>
        <w:ind w:left="0" w:hanging="0"/>
        <w:contextualSpacing/>
        <w:jc w:val="both"/>
        <w:rPr>
          <w:rFonts w:ascii="Calibri" w:hAnsi="Calibri" w:eastAsia="Calibri" w:cs="Calibri" w:eastAsiaTheme="minorHAnsi"/>
          <w:color w:val="2E74B5" w:themeColor="accent1" w:themeShade="bf"/>
          <w:sz w:val="23"/>
          <w:szCs w:val="23"/>
        </w:rPr>
      </w:pPr>
      <w:r>
        <w:rPr>
          <w:rFonts w:eastAsia="Calibri" w:cs="Calibri" w:eastAsiaTheme="minorHAnsi"/>
          <w:color w:val="2E74B5" w:themeColor="accent1" w:themeShade="bf"/>
          <w:sz w:val="23"/>
          <w:szCs w:val="23"/>
        </w:rPr>
      </w:r>
    </w:p>
    <w:p>
      <w:pPr>
        <w:pStyle w:val="Normal"/>
        <w:rPr>
          <w:rFonts w:ascii="Times New Roman" w:hAnsi="Times New Roman" w:cs="Times New Roman"/>
          <w:color w:val="FF0000"/>
          <w:sz w:val="24"/>
          <w:szCs w:val="24"/>
        </w:rPr>
      </w:pPr>
      <w:r>
        <w:rPr>
          <w:rFonts w:cs="Times New Roman" w:ascii="Times New Roman" w:hAnsi="Times New Roman"/>
          <w:b/>
          <w:bCs/>
          <w:sz w:val="24"/>
          <w:szCs w:val="24"/>
        </w:rPr>
        <w:t>Articolul 6</w:t>
      </w:r>
      <w:r>
        <w:rPr>
          <w:rFonts w:cs="Times New Roman" w:ascii="Times New Roman" w:hAnsi="Times New Roman"/>
          <w:sz w:val="24"/>
          <w:szCs w:val="24"/>
        </w:rPr>
        <w:br/>
      </w:r>
      <w:r>
        <w:rPr>
          <w:rFonts w:cs="Times New Roman" w:ascii="Times New Roman" w:hAnsi="Times New Roman"/>
          <w:b/>
          <w:bCs/>
          <w:sz w:val="24"/>
          <w:szCs w:val="24"/>
        </w:rPr>
        <w:t>Primirea si evaluarea proiectelor pentru masurile SDL</w:t>
      </w:r>
    </w:p>
    <w:p>
      <w:pPr>
        <w:pStyle w:val="Normal"/>
        <w:jc w:val="both"/>
        <w:rPr>
          <w:rFonts w:ascii="Times New Roman" w:hAnsi="Times New Roman" w:cs="Times New Roman"/>
          <w:sz w:val="24"/>
          <w:szCs w:val="24"/>
        </w:rPr>
      </w:pPr>
      <w:r>
        <w:rPr>
          <w:rFonts w:cs="Times New Roman" w:ascii="Times New Roman" w:hAnsi="Times New Roman"/>
          <w:sz w:val="24"/>
          <w:szCs w:val="24"/>
        </w:rPr>
        <w:t>1. Pentru toate masurile, primirea proiectelor se face de catre secretariatul GAL la sediul GAL afisat in anuntul de lansare a sesiunilor.</w:t>
        <w:br/>
        <w:t>2. Evaluarea proiectelor se realizeaza de catre angajatii desemnati ai GAL, pe baza SDL, al Ghidului solicitantului al masurii si  procedurilor de evaluare cuprinse in manualele de proceduri folosite de AFIR si aprobate prin ordin al Ministrului Agriculturii si Dezvoltarii Rurale.</w:t>
        <w:br/>
        <w:t xml:space="preserve">3. Dupa finalizarea evaluarii proiectelor depuse intr-o sesiune de depunere a proiectelor se intocmeste Raportul intermediar de selectie a proiectelor pe fiecare masura in parte. </w:t>
      </w:r>
    </w:p>
    <w:p>
      <w:pPr>
        <w:pStyle w:val="Normal"/>
        <w:jc w:val="both"/>
        <w:rPr>
          <w:rFonts w:ascii="Times New Roman" w:hAnsi="Times New Roman" w:cs="Times New Roman"/>
          <w:sz w:val="24"/>
          <w:szCs w:val="24"/>
        </w:rPr>
      </w:pPr>
      <w:r>
        <w:rPr>
          <w:rFonts w:cs="Times New Roman" w:ascii="Times New Roman" w:hAnsi="Times New Roman"/>
          <w:sz w:val="24"/>
          <w:szCs w:val="24"/>
        </w:rPr>
        <w:t>4. Raportul de selectie  intermediar este semnat de toti membrii Comitetului de Selectie prezenti si este aprobat de catre Presedinte in vederea publicarii pe site-ul GAL.</w:t>
        <w:br/>
        <w:t>5. In baza raportului de selectie intermediar publicat, GAL prin Compartimentul tehnic notifica aplicantii cu privire la rezultatul evaluarii proiectului, intr-un termen de maxim 5 zile lucratoare.</w:t>
        <w:br/>
        <w:t>6. Notificarea va include informatii cu privire la statutul proiectului in urma evaluarii si modalitatea de depunere a contestatiilor de catre aplicantii nemultumiti de rezultatul evaluarii.</w:t>
        <w:br/>
        <w:t>7. In cazul in care un proiect este declarat neeligibil vor fi indicate criteriile de eligibilitate care nu au fost indeplinite precum si cauzele care au condus la neeligibilitatea proiectului.</w:t>
        <w:br/>
        <w:t>8. In cazul in care proiectul este eligibil si a fost punctat, notificarea va mentiona punctajul obtinut pentru fiecare criteriu de selectie, motivele pentru care nu au fost punctate anumite criterii de selectie, stabilirea criteriilor de departajare precum si precizari cu privire la reducerea valorii eligibile, a valorii publice sau a intensitatii sprijinului, daca este cazul.</w:t>
      </w:r>
    </w:p>
    <w:p>
      <w:pPr>
        <w:pStyle w:val="Normal"/>
        <w:rPr>
          <w:rFonts w:ascii="Times New Roman" w:hAnsi="Times New Roman" w:cs="Times New Roman"/>
          <w:sz w:val="24"/>
          <w:szCs w:val="24"/>
        </w:rPr>
      </w:pPr>
      <w:r>
        <w:rPr>
          <w:rFonts w:cs="Times New Roman" w:ascii="Times New Roman" w:hAnsi="Times New Roman"/>
          <w:b/>
          <w:bCs/>
          <w:sz w:val="24"/>
          <w:szCs w:val="24"/>
        </w:rPr>
        <w:t>Articolul 7</w:t>
      </w:r>
      <w:r>
        <w:rPr>
          <w:rFonts w:cs="Times New Roman" w:ascii="Times New Roman" w:hAnsi="Times New Roman"/>
          <w:sz w:val="24"/>
          <w:szCs w:val="24"/>
        </w:rPr>
        <w:br/>
      </w:r>
      <w:r>
        <w:rPr>
          <w:rFonts w:cs="Times New Roman" w:ascii="Times New Roman" w:hAnsi="Times New Roman"/>
          <w:b/>
          <w:bCs/>
          <w:sz w:val="24"/>
          <w:szCs w:val="24"/>
        </w:rPr>
        <w:t>Selectia proiectelor</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1. Selecția proiectelor eligibile se face in ordinea descrescatoare a punctajului de selectie in cadrul alocarii disponibile pentru masura respectiva si valoarea publica totala a proiectelor selectate prin Raportul de Selecţie/Contestaţii. In cazul proiectelor cu acelaşi punctaj, departajarea acestora se face in </w:t>
      </w:r>
      <w:r>
        <w:rPr>
          <w:rFonts w:cs="Times New Roman" w:ascii="Times New Roman" w:hAnsi="Times New Roman"/>
          <w:b/>
          <w:sz w:val="24"/>
          <w:szCs w:val="24"/>
          <w:u w:val="single"/>
        </w:rPr>
        <w:t>conformitate cu ghidul solicitantului pe masura respectiva</w:t>
      </w:r>
      <w:r>
        <w:rPr>
          <w:rFonts w:cs="Times New Roman" w:ascii="Times New Roman" w:hAnsi="Times New Roman"/>
          <w:sz w:val="24"/>
          <w:szCs w:val="24"/>
        </w:rPr>
        <w:t>.</w:t>
      </w:r>
    </w:p>
    <w:p>
      <w:pPr>
        <w:pStyle w:val="Normal"/>
        <w:jc w:val="both"/>
        <w:rPr>
          <w:rFonts w:ascii="Times New Roman" w:hAnsi="Times New Roman" w:cs="Times New Roman"/>
          <w:sz w:val="24"/>
          <w:szCs w:val="24"/>
        </w:rPr>
      </w:pPr>
      <w:r>
        <w:rPr>
          <w:rFonts w:cs="Times New Roman" w:ascii="Times New Roman" w:hAnsi="Times New Roman"/>
          <w:sz w:val="24"/>
          <w:szCs w:val="24"/>
        </w:rPr>
        <w:t>2. In cazul departajarii proiectelor cu sume egale, se ia in considerare valoarea in euro a proiectelor.</w:t>
        <w:br/>
        <w:t xml:space="preserve">3. Selectia proiectelor se face aplicand regula de „dublu cvorum”, respectiv pentru validarea voturilor, este necesar ca in momentul selectiei sa fie prezenti cel putin 50% din membrii Comitetului de Selectie, din care peste 50% sa fie din mediul privat si societate civila. Pentru transparenta procesului de selectie a proiectelor si pentru efectuarea activitatilor de control si monitorizare, la aceste selectii va lua parte si un reprezentant al CDRJ de la nivel central. </w:t>
        <w:br/>
        <w:t>4. Angajatii  GAL pot solicita beneficiarului informatii suplimentare referitoare la indeplinirea conditiilor de conformitate, eligibilitate si selectie, daca considera ca este cazul.</w:t>
        <w:br/>
        <w:t>5. Daca unul din proiectele depuse pentru selectare apartine unuia din membrii Comitetului de Selectie sau afini, in conformitate cu prevederile legale, persoana (organizatia) in cauza nu are drept de vot si nu va participa la intalnirea comitetului respectiv pentru sesiunea de selectie in cauza.</w:t>
        <w:br/>
        <w:t>6. In cazul in care unul dintre membrii Comitetului de Selectie constata ca se afla in situatia de conflict de interese, acesta are obligatia de a solicita de indata inlocuirea sa din componenta comitetului respectiv. Inlocuirea membrului incompatibil se face prin decizia presedintelui  Asociatiei cu unul dintre membri supleanti. Revenire la membrul initial prevazut in componenta Comitetului in locul membrului supleant se poate face tot prin decizia presedintelui Asociatiei.</w:t>
        <w:br/>
        <w:t>7. In cazul in care nu se respecta masurile din cele doua paragrafe de mai sus, proiectul este considerat neeligibil.</w:t>
        <w:br/>
        <w:t>8. Pentru realizarea selectiei proiectelor se analizeaza daca valoarea publica, exprimata in euro, a proiectelor eligibile ce intrunesc pragul minim pentru masurile ce prevad acest lucru, supuse selectiei, este situata sub sau peste valoarea totala alocata unei masuri in cadrul sesiunii de depunere.</w:t>
      </w:r>
      <w:r>
        <w:rPr>
          <w:rFonts w:cs="Times New Roman" w:ascii="Times New Roman" w:hAnsi="Times New Roman"/>
          <w:color w:val="FF0000"/>
          <w:sz w:val="24"/>
          <w:szCs w:val="24"/>
        </w:rPr>
        <w:br/>
      </w:r>
    </w:p>
    <w:p>
      <w:pPr>
        <w:pStyle w:val="Normal"/>
        <w:rPr>
          <w:rFonts w:ascii="Times New Roman" w:hAnsi="Times New Roman" w:cs="Times New Roman"/>
          <w:sz w:val="24"/>
          <w:szCs w:val="24"/>
        </w:rPr>
      </w:pPr>
      <w:r>
        <w:rPr>
          <w:rFonts w:cs="Times New Roman" w:ascii="Times New Roman" w:hAnsi="Times New Roman"/>
          <w:b/>
          <w:bCs/>
          <w:sz w:val="24"/>
          <w:szCs w:val="24"/>
        </w:rPr>
        <w:t>Articolul 8</w:t>
      </w:r>
      <w:r>
        <w:rPr>
          <w:rFonts w:cs="Times New Roman" w:ascii="Times New Roman" w:hAnsi="Times New Roman"/>
          <w:sz w:val="24"/>
          <w:szCs w:val="24"/>
        </w:rPr>
        <w:br/>
      </w:r>
      <w:r>
        <w:rPr>
          <w:rFonts w:cs="Times New Roman" w:ascii="Times New Roman" w:hAnsi="Times New Roman"/>
          <w:b/>
          <w:bCs/>
          <w:sz w:val="24"/>
          <w:szCs w:val="24"/>
        </w:rPr>
        <w:t>Desfasurarea procedurii de solutionare a contestatiilor cu privire la rezultatul evaluarii proiectelor</w:t>
      </w:r>
    </w:p>
    <w:p>
      <w:pPr>
        <w:pStyle w:val="Normal"/>
        <w:jc w:val="both"/>
        <w:rPr>
          <w:rFonts w:ascii="Times New Roman" w:hAnsi="Times New Roman" w:cs="Times New Roman"/>
          <w:sz w:val="24"/>
          <w:szCs w:val="24"/>
        </w:rPr>
      </w:pPr>
      <w:r>
        <w:rPr>
          <w:rFonts w:cs="Times New Roman" w:ascii="Times New Roman" w:hAnsi="Times New Roman"/>
          <w:sz w:val="24"/>
          <w:szCs w:val="24"/>
        </w:rPr>
        <w:t>1. Contestatiile pot fi depuse incepand din momentul publicarii Raportului de evaluare pe site-ul GAL. Aplicantii care au depus proiecte in cadrul unei sesiuni de depunere au la dispozitie 5 zile lucratoare de la primirea notificarii privind rezultatul evaluarii proiectelor sa depuna contestatii.</w:t>
        <w:br/>
        <w:t>2. Contestatiile, semnate de beneficiar, vor fi depuse personal de solicitant la secretariatul GAL.</w:t>
        <w:br/>
        <w:t xml:space="preserve">3. Vor fi considerate contestatii si analizate in baza prezentei proceduri doar acele solicitari care contesta elemente legate de eligibilitatea proiectului depus, punctarea unui/unor criterii de selectie.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4. Analizarea contestatiilor se realizeaza de catre angajatii GAL, altii decat cei care au efectuat evaluarea initiala a proiectului, conform procedurii de evaluare care a stat la baza evaluarii si punctarii proiectului in cauza. </w:t>
      </w:r>
    </w:p>
    <w:p>
      <w:pPr>
        <w:pStyle w:val="Normal"/>
        <w:jc w:val="both"/>
        <w:rPr>
          <w:rFonts w:ascii="Times New Roman" w:hAnsi="Times New Roman" w:cs="Times New Roman"/>
          <w:color w:val="FF0000"/>
          <w:sz w:val="24"/>
          <w:szCs w:val="24"/>
        </w:rPr>
      </w:pPr>
      <w:r>
        <w:rPr>
          <w:rFonts w:cs="Times New Roman" w:ascii="Times New Roman" w:hAnsi="Times New Roman"/>
          <w:sz w:val="24"/>
          <w:szCs w:val="24"/>
        </w:rPr>
        <w:t>5. In acest scop, pentru fiecare proiect contestat se va intocmi un raport privind analiza contestatiei si solutia propusa in urma reevaluarii elementelor contestate. Daca solutia propusa in urma reevaluarii proiectului contestat difera de rezultatul evaluarii initiale a proiectului, se vor intocmi noi fise de evaluare.</w:t>
      </w:r>
      <w:r>
        <w:rPr>
          <w:rFonts w:cs="Times New Roman" w:ascii="Times New Roman" w:hAnsi="Times New Roman"/>
          <w:color w:val="FF0000"/>
          <w:sz w:val="24"/>
          <w:szCs w:val="24"/>
        </w:rPr>
        <w:br/>
      </w:r>
      <w:r>
        <w:rPr>
          <w:rFonts w:cs="Times New Roman" w:ascii="Times New Roman" w:hAnsi="Times New Roman"/>
          <w:sz w:val="24"/>
          <w:szCs w:val="24"/>
        </w:rPr>
        <w:t>6. Termenul maxim de analizare a tuturor contestatiilor depuse pentru o masura este de 5 zile lucratoare de la expirarea termenului maxim de depunere a contestatiilor si poate fi prelungit cu inca maxim 5 zile lucratoare, daca numarul de contestatii depuse este foarte mare, sau daca perioada de analiza a contestatiilor se suprapune cu sesiuni de verificare.</w:t>
      </w:r>
      <w:r>
        <w:rPr>
          <w:rFonts w:cs="Times New Roman" w:ascii="Times New Roman" w:hAnsi="Times New Roman"/>
          <w:color w:val="FF0000"/>
          <w:sz w:val="24"/>
          <w:szCs w:val="24"/>
        </w:rPr>
        <w:br/>
      </w:r>
    </w:p>
    <w:p>
      <w:pPr>
        <w:pStyle w:val="Normal"/>
        <w:rPr>
          <w:rFonts w:ascii="Times New Roman" w:hAnsi="Times New Roman" w:cs="Times New Roman"/>
          <w:sz w:val="24"/>
          <w:szCs w:val="24"/>
        </w:rPr>
      </w:pPr>
      <w:r>
        <w:rPr>
          <w:rFonts w:cs="Times New Roman" w:ascii="Times New Roman" w:hAnsi="Times New Roman"/>
          <w:b/>
          <w:bCs/>
          <w:sz w:val="24"/>
          <w:szCs w:val="24"/>
        </w:rPr>
        <w:t>Articolul 9</w:t>
      </w:r>
      <w:r>
        <w:rPr>
          <w:rFonts w:cs="Times New Roman" w:ascii="Times New Roman" w:hAnsi="Times New Roman"/>
          <w:sz w:val="24"/>
          <w:szCs w:val="24"/>
        </w:rPr>
        <w:br/>
      </w:r>
      <w:r>
        <w:rPr>
          <w:rFonts w:cs="Times New Roman" w:ascii="Times New Roman" w:hAnsi="Times New Roman"/>
          <w:b/>
          <w:bCs/>
          <w:sz w:val="24"/>
          <w:szCs w:val="24"/>
        </w:rPr>
        <w:t>Rapoartele de Selectie</w:t>
      </w:r>
    </w:p>
    <w:p>
      <w:pPr>
        <w:pStyle w:val="Normal"/>
        <w:jc w:val="both"/>
        <w:rPr>
          <w:rFonts w:ascii="Times New Roman" w:hAnsi="Times New Roman" w:cs="Times New Roman"/>
          <w:sz w:val="24"/>
          <w:szCs w:val="24"/>
        </w:rPr>
      </w:pPr>
      <w:r>
        <w:rPr>
          <w:rFonts w:cs="Times New Roman" w:ascii="Times New Roman" w:hAnsi="Times New Roman"/>
          <w:sz w:val="24"/>
          <w:szCs w:val="24"/>
        </w:rPr>
        <w:t>1. Rapoartele de Selectie intocmite sunt semnate de membrii si inaintate Presedintelui Asociatiei, spre aprobare.</w:t>
        <w:br/>
        <w:t xml:space="preserve">2. Presedintele aproba si comunica Consiliului Director o copie a Rapoartelor de selectie. </w:t>
      </w:r>
    </w:p>
    <w:p>
      <w:pPr>
        <w:pStyle w:val="Normal"/>
        <w:jc w:val="both"/>
        <w:rPr>
          <w:rFonts w:ascii="Times New Roman" w:hAnsi="Times New Roman" w:cs="Times New Roman"/>
          <w:sz w:val="24"/>
          <w:szCs w:val="24"/>
        </w:rPr>
      </w:pPr>
      <w:r>
        <w:rPr>
          <w:rFonts w:cs="Times New Roman" w:ascii="Times New Roman" w:hAnsi="Times New Roman"/>
          <w:sz w:val="24"/>
          <w:szCs w:val="24"/>
        </w:rPr>
        <w:t>3. Consiliul Director va verifica de indata conformitatea datelor din rapoarte, notificarea solicitantilor efectuandu-se numai dupa aceasta verificare.</w:t>
        <w:br/>
        <w:t>4. In situatia in care, ca urmare a primirii raportului de selectie aprobat, Consilul Director constata existenta unor erori in datele prezentate, acestea vor fi centralizate intr-o lista ce va fi trimisa de indata secretarului Comitetului de Selectie in vederea convocarii extraordinare a Comitetului de Selectie.</w:t>
      </w:r>
      <w:r>
        <w:rPr>
          <w:rFonts w:cs="Times New Roman" w:ascii="Times New Roman" w:hAnsi="Times New Roman"/>
          <w:color w:val="FF0000"/>
          <w:sz w:val="24"/>
          <w:szCs w:val="24"/>
        </w:rPr>
        <w:br/>
      </w:r>
      <w:r>
        <w:rPr>
          <w:rFonts w:cs="Times New Roman" w:ascii="Times New Roman" w:hAnsi="Times New Roman"/>
          <w:sz w:val="24"/>
          <w:szCs w:val="24"/>
        </w:rPr>
        <w:t>5. In situatia in care, ca urmare a rectificarii rapoartelor de selectie, se produc modificari cu privire la incadrarea proiectelor, rectificarea rapoartelor de selectie se va face cu respectarea prevederilor art. 7 si a alocarii financiare aferente sesiunii in cauza.</w:t>
        <w:br/>
        <w:t>6. Cel tarziu in ziua urmatoare finalizarii verificarii raportului de selectie aprobat sau primirii raportului de selectie rectificat, GAL posteaza pe site-ul GAL Raportul de selectie si notifica toti solicitantii privind rezultatele procesului de selectie.</w:t>
      </w:r>
    </w:p>
    <w:p>
      <w:pPr>
        <w:pStyle w:val="Normal"/>
        <w:rPr>
          <w:rFonts w:ascii="Times New Roman" w:hAnsi="Times New Roman" w:cs="Times New Roman"/>
          <w:sz w:val="24"/>
          <w:szCs w:val="24"/>
        </w:rPr>
      </w:pPr>
      <w:r>
        <w:rPr>
          <w:rFonts w:cs="Times New Roman" w:ascii="Times New Roman" w:hAnsi="Times New Roman"/>
          <w:b/>
          <w:bCs/>
          <w:sz w:val="24"/>
          <w:szCs w:val="24"/>
        </w:rPr>
        <w:t>Articolul 10</w:t>
      </w:r>
      <w:r>
        <w:rPr>
          <w:rFonts w:cs="Times New Roman" w:ascii="Times New Roman" w:hAnsi="Times New Roman"/>
          <w:sz w:val="24"/>
          <w:szCs w:val="24"/>
        </w:rPr>
        <w:br/>
      </w:r>
      <w:r>
        <w:rPr>
          <w:rFonts w:cs="Times New Roman" w:ascii="Times New Roman" w:hAnsi="Times New Roman"/>
          <w:b/>
          <w:bCs/>
          <w:sz w:val="24"/>
          <w:szCs w:val="24"/>
        </w:rPr>
        <w:t>Desfasurarea procedurii de solutionare a contestatiilor cu privire la rezultatul selectiei proiectelor</w:t>
      </w:r>
    </w:p>
    <w:p>
      <w:pPr>
        <w:pStyle w:val="Normal"/>
        <w:jc w:val="both"/>
        <w:rPr>
          <w:rFonts w:ascii="Times New Roman" w:hAnsi="Times New Roman" w:cs="Times New Roman"/>
          <w:sz w:val="24"/>
          <w:szCs w:val="24"/>
        </w:rPr>
      </w:pPr>
      <w:r>
        <w:rPr>
          <w:rFonts w:cs="Times New Roman" w:ascii="Times New Roman" w:hAnsi="Times New Roman"/>
          <w:sz w:val="24"/>
          <w:szCs w:val="24"/>
        </w:rPr>
        <w:t>1. Beneficiarii care au fost notificati de catre GAL de faptul ca proiectele acestora nu au fost selectati sau au fost selectati pot depune contestatii la sediul GAL, in termen de 5 zile lucratoare de la primirea notificarii.</w:t>
        <w:br/>
        <w:t>2. Contestatiile, semnate de beneficiar, vor fi depuse personal de solicitant la secretariatul GAL, care le transmite comisiei de contestatii impreuna cu Raportul de evaluare.</w:t>
        <w:br/>
        <w:t>4. Presedintele Comisiei de Contestatii convoaca membrii Comisiei, in termen de 3 zile lucratoare de la primirea situatiei privind contestatiile.</w:t>
        <w:br/>
        <w:t>5. Daca unul din proiectele depuse pentru selectare apartine unuia din membrii Comisiei de Contestatii sau afini, in conformitate cu prevederile legale, persoana (organizatia) in cauza nu are drept de vot si nu va participa la intalnirea comitetului respectiv pentru sesiunea de selectie in cauza. Persoana in cauza are obligatia de a solicita de indata inlocuirea sa din componenta comitetului respectiv. Inlocuirea membrului incompatibil se face prin decizia presedintelui Asociatiei cu unul dintre membri supleanti ai Comisiei de Contestatii. Revenire la membrul initial prevazut in componenta Comisiei de Contestatii in locul membrului supleant se poate face tot prin decizia presedintelui Asociatiei.</w:t>
        <w:br/>
        <w:t>7. Pentru solutionarea contestatiilor, Comisia de Contestatii va desfasura urmatoarele activitati:</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analizarea contestatiilor, precum si verificarea concordantei lor cu documentele justificative de la dosarul proiectului</w:t>
      </w:r>
      <w:r>
        <w:rPr>
          <w:rFonts w:cs="Times New Roman" w:ascii="Times New Roman" w:hAnsi="Times New Roman"/>
          <w:color w:val="FF0000"/>
          <w:sz w:val="24"/>
          <w:szCs w:val="24"/>
        </w:rPr>
        <w:br/>
      </w:r>
      <w:r>
        <w:rPr>
          <w:rFonts w:cs="Times New Roman" w:ascii="Times New Roman" w:hAnsi="Times New Roman"/>
          <w:sz w:val="24"/>
          <w:szCs w:val="24"/>
        </w:rPr>
        <w:t>– analiza ierarhizarii din Raportul de evaluare</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8. In situatia in care exista aspecte de ordin tehnic sau juridic care necesita o opinie de specialitate care excede sfera de competenta a Comisiei, Comisia de Contestatii poate solicita opinia managerului GAL, a unui expert/consultant extern, ce va avea un rol consultativ. </w:t>
      </w:r>
    </w:p>
    <w:p>
      <w:pPr>
        <w:pStyle w:val="Normal"/>
        <w:jc w:val="both"/>
        <w:rPr>
          <w:rFonts w:ascii="Times New Roman" w:hAnsi="Times New Roman" w:cs="Times New Roman"/>
          <w:b/>
          <w:b/>
          <w:bCs/>
          <w:sz w:val="24"/>
          <w:szCs w:val="24"/>
        </w:rPr>
      </w:pPr>
      <w:r>
        <w:rPr>
          <w:rFonts w:cs="Times New Roman" w:ascii="Times New Roman" w:hAnsi="Times New Roman"/>
          <w:sz w:val="24"/>
          <w:szCs w:val="24"/>
        </w:rPr>
        <w:t>9. In urma analizei raportului si a documentelor justificative aferente unei contestatii, Comisia de Contestatii poate solicita managerului GAL, copii ale unor documente justificative suplimentare din dosarul cererii de finantare sau dupa caz consultarea intregului dosar aferent cererii de finantare.</w:t>
        <w:br/>
        <w:t>10. In situatia in care constatarile Comisiei de Contestatii difera de cele cuprinse in raportul de selectie, solutia finala este cea data de Comisia de Contestatii si consemnata pentru fiecare contestatie in parte, intr-o nota justificativa care va fi atasata la dosarul cererii de finantare in cauza.</w:t>
        <w:br/>
        <w:t>11. Lucrarile si deciziile Comisiei de Contestatii se consemneaza intr-un Proces Verbal intocmita de secretarul Comisei si semnata de presedinte, membri si secretar si comunicata Consiliului Director si CDRJ.</w:t>
      </w:r>
      <w:r>
        <w:rPr>
          <w:rFonts w:cs="Times New Roman" w:ascii="Times New Roman" w:hAnsi="Times New Roman"/>
          <w:color w:val="FF0000"/>
          <w:sz w:val="24"/>
          <w:szCs w:val="24"/>
        </w:rPr>
        <w:br/>
      </w:r>
      <w:r>
        <w:rPr>
          <w:rFonts w:cs="Times New Roman" w:ascii="Times New Roman" w:hAnsi="Times New Roman"/>
          <w:sz w:val="24"/>
          <w:szCs w:val="24"/>
        </w:rPr>
        <w:t>12. Comisia de Contestatii intocmeste un Raport de contestatii, pentru fiecare masura in parte, care va cuprinde rezultatul contestatiilor.</w:t>
        <w:br/>
        <w:t>13. In urma instrumentarii contestatiilor, Comisia de Contestatii poate adopta urmatoarele solutii: ADMIS sau RESPINS.</w:t>
        <w:br/>
        <w:t>14. Raportul de Contestatii va fi inaintat Comitetului de Selectie si Consiliului Director.</w:t>
        <w:br/>
        <w:t>15. Daca Raportul de contestatii contine cel putin o solutie ADMIS la una dintre contestatiile depuse, Comitetul de selectie va elabora Raportul de selectie final in conformitate cu art.9; daca Raportul de contestatii contine solutia RESPINS la toate contestatiile, Raportul de Selectie ramane nemodificat.</w:t>
        <w:br/>
        <w:t>16. Dupa aparitia Raportului de selectie final pe site-ul GAL, raportul ramane definitiv.</w:t>
        <w:br/>
      </w:r>
    </w:p>
    <w:p>
      <w:pPr>
        <w:pStyle w:val="Normal"/>
        <w:rPr>
          <w:rFonts w:ascii="Times New Roman" w:hAnsi="Times New Roman" w:cs="Times New Roman"/>
          <w:sz w:val="24"/>
          <w:szCs w:val="24"/>
        </w:rPr>
      </w:pPr>
      <w:r>
        <w:rPr>
          <w:rFonts w:cs="Times New Roman" w:ascii="Times New Roman" w:hAnsi="Times New Roman"/>
          <w:b/>
          <w:bCs/>
          <w:sz w:val="24"/>
          <w:szCs w:val="24"/>
        </w:rPr>
        <w:t>Articolul 11</w:t>
      </w:r>
      <w:r>
        <w:rPr>
          <w:rFonts w:cs="Times New Roman" w:ascii="Times New Roman" w:hAnsi="Times New Roman"/>
          <w:sz w:val="24"/>
          <w:szCs w:val="24"/>
        </w:rPr>
        <w:br/>
      </w:r>
      <w:r>
        <w:rPr>
          <w:rFonts w:cs="Times New Roman" w:ascii="Times New Roman" w:hAnsi="Times New Roman"/>
          <w:b/>
          <w:bCs/>
          <w:sz w:val="24"/>
          <w:szCs w:val="24"/>
        </w:rPr>
        <w:t>Raportarea fondurilor</w:t>
      </w:r>
    </w:p>
    <w:p>
      <w:pPr>
        <w:pStyle w:val="Normal"/>
        <w:jc w:val="both"/>
        <w:rPr>
          <w:rFonts w:ascii="Times New Roman" w:hAnsi="Times New Roman" w:cs="Times New Roman"/>
          <w:sz w:val="24"/>
          <w:szCs w:val="24"/>
        </w:rPr>
      </w:pPr>
      <w:r>
        <w:rPr>
          <w:rFonts w:cs="Times New Roman" w:ascii="Times New Roman" w:hAnsi="Times New Roman"/>
          <w:sz w:val="24"/>
          <w:szCs w:val="24"/>
        </w:rPr>
        <w:t>In cazul in care suma alocata pe masura in cadrul unei sesiuni nu este acoperita de valoarea publica totala a proiectelor depuse, suma ramasa (diferenta dintre suma alocata si valoarea publica totala a proiectelor depuse) va fi raportata in cadrul urmatoarei sesiuni de depunere.</w:t>
      </w:r>
    </w:p>
    <w:p>
      <w:pPr>
        <w:pStyle w:val="Normal"/>
        <w:jc w:val="both"/>
        <w:rPr>
          <w:rFonts w:ascii="Times New Roman" w:hAnsi="Times New Roman" w:cs="Times New Roman"/>
          <w:sz w:val="24"/>
          <w:szCs w:val="24"/>
        </w:rPr>
      </w:pPr>
      <w:r>
        <w:rPr>
          <w:rFonts w:cs="Times New Roman" w:ascii="Times New Roman" w:hAnsi="Times New Roman"/>
          <w:b/>
          <w:bCs/>
          <w:sz w:val="24"/>
          <w:szCs w:val="24"/>
        </w:rPr>
        <w:t>Articolul 12</w:t>
      </w:r>
      <w:r>
        <w:rPr>
          <w:rFonts w:cs="Times New Roman" w:ascii="Times New Roman" w:hAnsi="Times New Roman"/>
          <w:sz w:val="24"/>
          <w:szCs w:val="24"/>
        </w:rPr>
        <w:br/>
      </w:r>
      <w:r>
        <w:rPr>
          <w:rFonts w:cs="Times New Roman" w:ascii="Times New Roman" w:hAnsi="Times New Roman"/>
          <w:b/>
          <w:bCs/>
          <w:sz w:val="24"/>
          <w:szCs w:val="24"/>
        </w:rPr>
        <w:t>Verificarea respectarii prevederilor procedurii de selectie si de solutionare a contestatiilor</w:t>
      </w:r>
      <w:r>
        <w:rPr>
          <w:rFonts w:cs="Times New Roman" w:ascii="Times New Roman" w:hAnsi="Times New Roman"/>
          <w:sz w:val="24"/>
          <w:szCs w:val="24"/>
        </w:rPr>
        <w:br/>
        <w:t xml:space="preserve">Daca pe parcursul desfasurarii procesului de evaluare si selectie, precum si de solutionare a contestatiilor se constata greseli de orice natura, AM PNDR si AFIR/CDRJ pot cerceta cauzele producerii acestora. </w:t>
      </w:r>
    </w:p>
    <w:p>
      <w:pPr>
        <w:pStyle w:val="Normal"/>
        <w:rPr>
          <w:rFonts w:ascii="Times New Roman" w:hAnsi="Times New Roman" w:cs="Times New Roman"/>
          <w:sz w:val="24"/>
          <w:szCs w:val="24"/>
        </w:rPr>
      </w:pPr>
      <w:r>
        <w:rPr>
          <w:rFonts w:cs="Times New Roman" w:ascii="Times New Roman" w:hAnsi="Times New Roman"/>
          <w:b/>
          <w:bCs/>
          <w:sz w:val="24"/>
          <w:szCs w:val="24"/>
        </w:rPr>
        <w:t>Articolul 13 Prevederi finale</w:t>
      </w:r>
    </w:p>
    <w:p>
      <w:pPr>
        <w:pStyle w:val="Normal"/>
        <w:rPr>
          <w:rFonts w:ascii="Times New Roman" w:hAnsi="Times New Roman" w:cs="Times New Roman"/>
          <w:sz w:val="24"/>
          <w:szCs w:val="24"/>
        </w:rPr>
      </w:pPr>
      <w:r>
        <w:rPr>
          <w:rFonts w:cs="Times New Roman" w:ascii="Times New Roman" w:hAnsi="Times New Roman"/>
          <w:sz w:val="24"/>
          <w:szCs w:val="24"/>
        </w:rPr>
        <w:t>1. Prezenta procedura se aplica pentru proiectele depuse incepand cu sesiunile de depunere a proiectelor organizate de Gal Asociatia Angustia Egyesulet in perioada 2017-2019</w:t>
        <w:br/>
        <w:t>2. Prezenta procedura poate fi modificat prin Hotararea Adunarii generale/Consiliului director al Asociatiei Angustia Egyesulet.</w:t>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color w:val="000000" w:themeColor="text1"/>
          <w:sz w:val="24"/>
          <w:szCs w:val="24"/>
          <w:lang w:val="hu-HU"/>
        </w:rPr>
      </w:pPr>
      <w:r>
        <w:rPr/>
      </w:r>
    </w:p>
    <w:p>
      <w:pPr>
        <w:pStyle w:val="Normal"/>
        <w:rPr>
          <w:rFonts w:ascii="Times New Roman" w:hAnsi="Times New Roman" w:cs="Times New Roman"/>
          <w:b/>
          <w:b/>
          <w:color w:val="000000" w:themeColor="text1"/>
          <w:sz w:val="24"/>
          <w:szCs w:val="24"/>
          <w:lang w:val="hu-HU"/>
        </w:rPr>
      </w:pPr>
      <w:r>
        <w:rPr>
          <w:rFonts w:cs="Times New Roman" w:ascii="Times New Roman" w:hAnsi="Times New Roman"/>
          <w:b/>
          <w:sz w:val="24"/>
          <w:szCs w:val="24"/>
        </w:rPr>
        <w:t>Aprobat de catre Consiliul Director al Asociatiei Angustia Egyes</w:t>
      </w:r>
      <w:r>
        <w:rPr>
          <w:rFonts w:cs="Times New Roman" w:ascii="Times New Roman" w:hAnsi="Times New Roman"/>
          <w:b/>
          <w:sz w:val="24"/>
          <w:szCs w:val="24"/>
          <w:lang w:val="hu-HU"/>
        </w:rPr>
        <w:t xml:space="preserve">ület </w:t>
      </w:r>
    </w:p>
    <w:p>
      <w:pPr>
        <w:pStyle w:val="Normal"/>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t>Varga Attila,</w:t>
      </w:r>
    </w:p>
    <w:p>
      <w:pPr>
        <w:pStyle w:val="Normal"/>
        <w:rPr>
          <w:rFonts w:ascii="Times New Roman" w:hAnsi="Times New Roman" w:cs="Times New Roman"/>
          <w:b/>
          <w:b/>
          <w:sz w:val="24"/>
          <w:szCs w:val="24"/>
        </w:rPr>
      </w:pPr>
      <w:r>
        <w:rPr>
          <w:rFonts w:cs="Times New Roman" w:ascii="Times New Roman" w:hAnsi="Times New Roman"/>
          <w:b/>
          <w:sz w:val="24"/>
          <w:szCs w:val="24"/>
        </w:rPr>
        <w:t>reprezentant legal</w:t>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160"/>
        <w:jc w:val="center"/>
        <w:rPr>
          <w:rFonts w:ascii="Times New Roman" w:hAnsi="Times New Roman" w:cs="Times New Roman"/>
          <w:b/>
          <w:b/>
          <w:sz w:val="24"/>
          <w:szCs w:val="24"/>
        </w:rPr>
      </w:pPr>
      <w:r>
        <w:rPr/>
      </w:r>
    </w:p>
    <w:sectPr>
      <w:headerReference w:type="default" r:id="rId2"/>
      <w:type w:val="nextPage"/>
      <w:pgSz w:w="12240" w:h="15840"/>
      <w:pgMar w:left="1440" w:right="1440" w:gutter="0" w:header="708"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left="-993" w:hanging="0"/>
      <w:rPr/>
    </w:pPr>
    <w:r>
      <w:rPr/>
      <w:t xml:space="preserve">            </w:t>
    </w:r>
    <w:r>
      <w:rPr/>
      <w:drawing>
        <wp:inline distT="0" distB="0" distL="0" distR="0">
          <wp:extent cx="1037590" cy="888365"/>
          <wp:effectExtent l="0" t="0" r="0" b="0"/>
          <wp:docPr id="1" name="Picture 19" descr="C:\Users\User\Downloads\Sigla_Uniunii_Europene_cu_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9" descr="C:\Users\User\Downloads\Sigla_Uniunii_Europene_cu_text.jpg"/>
                  <pic:cNvPicPr>
                    <a:picLocks noChangeAspect="1" noChangeArrowheads="1"/>
                  </pic:cNvPicPr>
                </pic:nvPicPr>
                <pic:blipFill>
                  <a:blip r:embed="rId1"/>
                  <a:stretch>
                    <a:fillRect/>
                  </a:stretch>
                </pic:blipFill>
                <pic:spPr bwMode="auto">
                  <a:xfrm>
                    <a:off x="0" y="0"/>
                    <a:ext cx="1037590" cy="888365"/>
                  </a:xfrm>
                  <a:prstGeom prst="rect">
                    <a:avLst/>
                  </a:prstGeom>
                </pic:spPr>
              </pic:pic>
            </a:graphicData>
          </a:graphic>
        </wp:inline>
      </w:drawing>
    </w:r>
    <w:r>
      <w:rPr/>
      <w:t xml:space="preserve">                       </w:t>
    </w:r>
    <w:r>
      <w:rPr/>
      <w:drawing>
        <wp:inline distT="0" distB="0" distL="0" distR="0">
          <wp:extent cx="825500" cy="819150"/>
          <wp:effectExtent l="0" t="0" r="0" b="0"/>
          <wp:docPr id="2" name="Picture 1" descr="C:\Users\User\Downloads\guvernul romani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Users\User\Downloads\guvernul romaniei.jpg"/>
                  <pic:cNvPicPr>
                    <a:picLocks noChangeAspect="1" noChangeArrowheads="1"/>
                  </pic:cNvPicPr>
                </pic:nvPicPr>
                <pic:blipFill>
                  <a:blip r:embed="rId2"/>
                  <a:stretch>
                    <a:fillRect/>
                  </a:stretch>
                </pic:blipFill>
                <pic:spPr bwMode="auto">
                  <a:xfrm>
                    <a:off x="0" y="0"/>
                    <a:ext cx="825500" cy="819150"/>
                  </a:xfrm>
                  <a:prstGeom prst="rect">
                    <a:avLst/>
                  </a:prstGeom>
                </pic:spPr>
              </pic:pic>
            </a:graphicData>
          </a:graphic>
        </wp:inline>
      </w:drawing>
    </w:r>
    <w:r>
      <w:rPr/>
      <w:t xml:space="preserve">                               </w:t>
    </w:r>
    <w:r>
      <w:rPr/>
      <w:drawing>
        <wp:inline distT="0" distB="0" distL="0" distR="0">
          <wp:extent cx="875030" cy="876300"/>
          <wp:effectExtent l="0" t="0" r="0" b="0"/>
          <wp:docPr id="3" name="Picture 20" descr="C:\Users\User\Downloads\Sigla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0" descr="C:\Users\User\Downloads\Sigla_LEADER.jpg"/>
                  <pic:cNvPicPr>
                    <a:picLocks noChangeAspect="1" noChangeArrowheads="1"/>
                  </pic:cNvPicPr>
                </pic:nvPicPr>
                <pic:blipFill>
                  <a:blip r:embed="rId3"/>
                  <a:stretch>
                    <a:fillRect/>
                  </a:stretch>
                </pic:blipFill>
                <pic:spPr bwMode="auto">
                  <a:xfrm>
                    <a:off x="0" y="0"/>
                    <a:ext cx="875030" cy="876300"/>
                  </a:xfrm>
                  <a:prstGeom prst="rect">
                    <a:avLst/>
                  </a:prstGeom>
                </pic:spPr>
              </pic:pic>
            </a:graphicData>
          </a:graphic>
        </wp:inline>
      </w:drawing>
    </w:r>
    <w:r>
      <w:rPr/>
      <w:t xml:space="preserve">                         </w:t>
    </w:r>
    <w:r>
      <w:rPr/>
      <w:drawing>
        <wp:inline distT="0" distB="0" distL="0" distR="0">
          <wp:extent cx="898525" cy="942340"/>
          <wp:effectExtent l="0" t="0" r="0" b="0"/>
          <wp:docPr id="4" name="Picture 21" descr="D:\Munka\ANGUSTIA\LEADER 2007-2013\2015\Angustia Logo vegleges okokok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1" descr="D:\Munka\ANGUSTIA\LEADER 2007-2013\2015\Angustia Logo vegleges okokok JPG.jpg"/>
                  <pic:cNvPicPr>
                    <a:picLocks noChangeAspect="1" noChangeArrowheads="1"/>
                  </pic:cNvPicPr>
                </pic:nvPicPr>
                <pic:blipFill>
                  <a:blip r:embed="rId4"/>
                  <a:stretch>
                    <a:fillRect/>
                  </a:stretch>
                </pic:blipFill>
                <pic:spPr bwMode="auto">
                  <a:xfrm>
                    <a:off x="0" y="0"/>
                    <a:ext cx="898525" cy="942340"/>
                  </a:xfrm>
                  <a:prstGeom prst="rect">
                    <a:avLst/>
                  </a:prstGeom>
                </pic:spPr>
              </pic:pic>
            </a:graphicData>
          </a:graphic>
        </wp:inline>
      </w:drawing>
    </w:r>
  </w:p>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b975bc"/>
    <w:rPr/>
  </w:style>
  <w:style w:type="character" w:styleId="FooterChar" w:customStyle="1">
    <w:name w:val="Footer Char"/>
    <w:basedOn w:val="DefaultParagraphFont"/>
    <w:link w:val="Footer"/>
    <w:uiPriority w:val="99"/>
    <w:qFormat/>
    <w:rsid w:val="00b975bc"/>
    <w:rPr/>
  </w:style>
  <w:style w:type="character" w:styleId="BalloonTextChar" w:customStyle="1">
    <w:name w:val="Balloon Text Char"/>
    <w:basedOn w:val="DefaultParagraphFont"/>
    <w:link w:val="BalloonText"/>
    <w:uiPriority w:val="99"/>
    <w:semiHidden/>
    <w:qFormat/>
    <w:rsid w:val="00e3194a"/>
    <w:rPr>
      <w:rFonts w:ascii="Tahoma" w:hAnsi="Tahoma" w:cs="Tahoma"/>
      <w:sz w:val="16"/>
      <w:szCs w:val="16"/>
    </w:rPr>
  </w:style>
  <w:style w:type="character" w:styleId="Applestylespan" w:customStyle="1">
    <w:name w:val="apple-style-span"/>
    <w:basedOn w:val="DefaultParagraphFont"/>
    <w:qFormat/>
    <w:rsid w:val="00e3194a"/>
    <w:rPr/>
  </w:style>
  <w:style w:type="character" w:styleId="Appleconvertedspace" w:customStyle="1">
    <w:name w:val="apple-converted-space"/>
    <w:basedOn w:val="DefaultParagraphFont"/>
    <w:qFormat/>
    <w:rsid w:val="00e3194a"/>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HeaderandFooter">
    <w:name w:val="Header and Footer"/>
    <w:basedOn w:val="Normal"/>
    <w:qFormat/>
    <w:pPr/>
    <w:rPr/>
  </w:style>
  <w:style w:type="paragraph" w:styleId="Header">
    <w:name w:val="Header"/>
    <w:basedOn w:val="Normal"/>
    <w:link w:val="HeaderChar"/>
    <w:uiPriority w:val="99"/>
    <w:unhideWhenUsed/>
    <w:rsid w:val="00b975bc"/>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b975bc"/>
    <w:pPr>
      <w:tabs>
        <w:tab w:val="clear" w:pos="720"/>
        <w:tab w:val="center" w:pos="4680" w:leader="none"/>
        <w:tab w:val="right" w:pos="9360" w:leader="none"/>
      </w:tabs>
      <w:spacing w:lineRule="auto" w:line="240" w:before="0" w:after="0"/>
    </w:pPr>
    <w:rPr/>
  </w:style>
  <w:style w:type="paragraph" w:styleId="ListParagraph">
    <w:name w:val="List Paragraph"/>
    <w:basedOn w:val="Normal"/>
    <w:uiPriority w:val="34"/>
    <w:qFormat/>
    <w:rsid w:val="009a5e33"/>
    <w:pPr>
      <w:spacing w:before="0" w:after="160"/>
      <w:ind w:left="720" w:hanging="0"/>
      <w:contextualSpacing/>
    </w:pPr>
    <w:rPr>
      <w:rFonts w:eastAsia="" w:eastAsiaTheme="minorEastAsia"/>
    </w:rPr>
  </w:style>
  <w:style w:type="paragraph" w:styleId="BalloonText">
    <w:name w:val="Balloon Text"/>
    <w:basedOn w:val="Normal"/>
    <w:link w:val="BalloonTextChar"/>
    <w:uiPriority w:val="99"/>
    <w:semiHidden/>
    <w:unhideWhenUsed/>
    <w:qFormat/>
    <w:rsid w:val="00e3194a"/>
    <w:pPr>
      <w:spacing w:lineRule="auto" w:line="240" w:before="0" w:after="0"/>
    </w:pPr>
    <w:rPr>
      <w:rFonts w:ascii="Tahoma" w:hAnsi="Tahoma" w:cs="Tahoma"/>
      <w:sz w:val="16"/>
      <w:szCs w:val="16"/>
    </w:rPr>
  </w:style>
  <w:style w:type="paragraph" w:styleId="NormalWeb">
    <w:name w:val="Normal (Web)"/>
    <w:basedOn w:val="Normal"/>
    <w:qFormat/>
    <w:rsid w:val="00e3194a"/>
    <w:pPr>
      <w:spacing w:lineRule="auto" w:line="240" w:beforeAutospacing="1" w:afterAutospacing="1"/>
    </w:pPr>
    <w:rPr>
      <w:rFonts w:ascii="Times New Roman" w:hAnsi="Times New Roman" w:eastAsia="Times New Roman" w:cs="Times New Roman"/>
      <w:sz w:val="24"/>
      <w:szCs w:val="24"/>
      <w:lang w:val="hu-HU" w:eastAsia="hu-HU"/>
    </w:rPr>
  </w:style>
  <w:style w:type="paragraph" w:styleId="Default" w:customStyle="1">
    <w:name w:val="Default"/>
    <w:qFormat/>
    <w:rsid w:val="005a4ca2"/>
    <w:pPr>
      <w:widowControl/>
      <w:bidi w:val="0"/>
      <w:spacing w:lineRule="auto" w:line="240" w:before="0" w:after="0"/>
      <w:jc w:val="left"/>
    </w:pPr>
    <w:rPr>
      <w:rFonts w:ascii="Calibri" w:hAnsi="Calibri" w:eastAsia="Calibri" w:cs="Calibri"/>
      <w:color w:val="000000"/>
      <w:kern w:val="0"/>
      <w:sz w:val="24"/>
      <w:szCs w:val="24"/>
      <w:lang w:val="en-US"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 Id="rId4" Type="http://schemas.openxmlformats.org/officeDocument/2006/relationships/image" Target="media/image4.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LibreOffice/7.3.2.2$Windows_X86_64 LibreOffice_project/49f2b1bff42cfccbd8f788c8dc32c1c309559be0</Application>
  <AppVersion>15.0000</AppVersion>
  <Pages>11</Pages>
  <Words>3291</Words>
  <Characters>19625</Characters>
  <CharactersWithSpaces>22870</CharactersWithSpaces>
  <Paragraphs>188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2020-11-03T07:59:00Z</dcterms:created>
  <dc:creator>User</dc:creator>
  <dc:description/>
  <dc:language>en-US</dc:language>
  <cp:lastModifiedBy/>
  <cp:lastPrinted>2017-06-09T06:20:00Z</cp:lastPrinted>
  <dcterms:modified xsi:type="dcterms:W3CDTF">2022-09-06T08:45:15Z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